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jc w:val="center"/>
        <w:rPr>
          <w:rFonts w:ascii="Tahoma" w:cs="Tahoma" w:eastAsia="Tahoma" w:hAnsi="Tahoma"/>
          <w:b w:val="1"/>
        </w:rPr>
      </w:pPr>
      <w:r w:rsidDel="00000000" w:rsidR="00000000" w:rsidRPr="00000000">
        <w:rPr>
          <w:rFonts w:ascii="Tahoma" w:cs="Tahoma" w:eastAsia="Tahoma" w:hAnsi="Tahoma"/>
          <w:b w:val="1"/>
          <w:rtl w:val="0"/>
        </w:rPr>
        <w:t xml:space="preserve">OBRA DE CONSTRUCCIÓN DE LA NUEVA TUBERÍA DE IMPULSIÓN DEL INTERCEPTOR DE CASTELLDEFELS</w:t>
      </w:r>
    </w:p>
    <w:p w:rsidR="00000000" w:rsidDel="00000000" w:rsidP="00000000" w:rsidRDefault="00000000" w:rsidRPr="00000000" w14:paraId="00000008">
      <w:pPr>
        <w:spacing w:after="240" w:line="240" w:lineRule="auto"/>
        <w:jc w:val="center"/>
        <w:rPr>
          <w:rFonts w:ascii="Tahoma" w:cs="Tahoma" w:eastAsia="Tahoma" w:hAnsi="Tahoma"/>
          <w:b w:val="1"/>
        </w:rPr>
      </w:pPr>
      <w:r w:rsidDel="00000000" w:rsidR="00000000" w:rsidRPr="00000000">
        <w:rPr>
          <w:rFonts w:ascii="Tahoma" w:cs="Tahoma" w:eastAsia="Tahoma" w:hAnsi="Tahoma"/>
          <w:b w:val="1"/>
          <w:rtl w:val="0"/>
        </w:rPr>
        <w:t xml:space="preserve">(Nº EXP.: AB/2025/177)</w:t>
      </w:r>
    </w:p>
    <w:p w:rsidR="00000000" w:rsidDel="00000000" w:rsidP="00000000" w:rsidRDefault="00000000" w:rsidRPr="00000000" w14:paraId="00000009">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pStyle w:val="Heading1"/>
        <w:jc w:val="center"/>
        <w:rPr/>
      </w:pPr>
      <w:r w:rsidDel="00000000" w:rsidR="00000000" w:rsidRPr="00000000">
        <w:rPr>
          <w:rtl w:val="0"/>
        </w:rPr>
        <w:t xml:space="preserve">ANEXO Nº 0</w:t>
      </w:r>
    </w:p>
    <w:p w:rsidR="00000000" w:rsidDel="00000000" w:rsidP="00000000" w:rsidRDefault="00000000" w:rsidRPr="00000000" w14:paraId="0000000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0E">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0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9"/>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9"/>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9"/>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9"/>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9"/>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2"/>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2"/>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2"/>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jc w:val="center"/>
        <w:rPr/>
      </w:pPr>
      <w:r w:rsidDel="00000000" w:rsidR="00000000" w:rsidRPr="00000000">
        <w:rPr>
          <w:rtl w:val="0"/>
        </w:rPr>
        <w:t xml:space="preserve">ANEXO Nº 1.a </w:t>
      </w:r>
    </w:p>
    <w:p w:rsidR="00000000" w:rsidDel="00000000" w:rsidP="00000000" w:rsidRDefault="00000000" w:rsidRPr="00000000" w14:paraId="0000003B">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3C">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3D">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3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Proyecto Constructivo,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4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48">
      <w:pPr>
        <w:spacing w:after="240" w:lineRule="auto"/>
        <w:ind w:right="-4"/>
        <w:rPr>
          <w:rFonts w:ascii="Tahoma" w:cs="Tahoma" w:eastAsia="Tahoma" w:hAnsi="Tahoma"/>
        </w:rPr>
      </w:pPr>
      <w:r w:rsidDel="00000000" w:rsidR="00000000" w:rsidRPr="00000000">
        <w:rPr>
          <w:rtl w:val="0"/>
        </w:rPr>
      </w:r>
    </w:p>
    <w:p w:rsidR="00000000" w:rsidDel="00000000" w:rsidP="00000000" w:rsidRDefault="00000000" w:rsidRPr="00000000" w14:paraId="00000049">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A">
      <w:pPr>
        <w:spacing w:after="0" w:before="120" w:line="240"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jc w:val="center"/>
        <w:rPr/>
      </w:pPr>
      <w:r w:rsidDel="00000000" w:rsidR="00000000" w:rsidRPr="00000000">
        <w:rPr>
          <w:rtl w:val="0"/>
        </w:rPr>
        <w:t xml:space="preserve">ANEXO Nº 1.b</w:t>
      </w:r>
    </w:p>
    <w:p w:rsidR="00000000" w:rsidDel="00000000" w:rsidP="00000000" w:rsidRDefault="00000000" w:rsidRPr="00000000" w14:paraId="0000004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4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COMUNITARIA)</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4E">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4F">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50">
      <w:pPr>
        <w:spacing w:line="276" w:lineRule="auto"/>
        <w:ind w:right="-4"/>
        <w:jc w:val="both"/>
        <w:rPr>
          <w:rFonts w:ascii="Tahoma" w:cs="Tahoma" w:eastAsia="Tahoma" w:hAnsi="Tahoma"/>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5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Proyecto Constructivo, así como sus anexos y resto de documentación facilitada por AIGÜES DE BARCELONA revisten carácter contractual.</w:t>
      </w:r>
    </w:p>
    <w:p w:rsidR="00000000" w:rsidDel="00000000" w:rsidP="00000000" w:rsidRDefault="00000000" w:rsidRPr="00000000" w14:paraId="00000057">
      <w:pPr>
        <w:spacing w:after="120" w:line="276" w:lineRule="auto"/>
        <w:ind w:right="-4"/>
        <w:jc w:val="both"/>
        <w:rPr>
          <w:rFonts w:ascii="Tahoma" w:cs="Tahoma" w:eastAsia="Tahoma" w:hAnsi="Tahoma"/>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5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5A">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5B">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jc w:val="center"/>
        <w:rPr/>
      </w:pPr>
      <w:r w:rsidDel="00000000" w:rsidR="00000000" w:rsidRPr="00000000">
        <w:rPr>
          <w:rtl w:val="0"/>
        </w:rPr>
        <w:t xml:space="preserve">ANEXO Nº 1.c</w:t>
      </w:r>
    </w:p>
    <w:p w:rsidR="00000000" w:rsidDel="00000000" w:rsidP="00000000" w:rsidRDefault="00000000" w:rsidRPr="00000000" w14:paraId="0000005E">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5F">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NO COMUNITARIA) </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60">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61">
      <w:pPr>
        <w:spacing w:after="24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AB/2025/177)</w:t>
      </w:r>
      <w:r w:rsidDel="00000000" w:rsidR="00000000" w:rsidRPr="00000000">
        <w:rPr>
          <w:rtl w:val="0"/>
        </w:rPr>
      </w:r>
    </w:p>
    <w:p w:rsidR="00000000" w:rsidDel="00000000" w:rsidP="00000000" w:rsidRDefault="00000000" w:rsidRPr="00000000" w14:paraId="00000062">
      <w:pPr>
        <w:spacing w:line="276" w:lineRule="auto"/>
        <w:ind w:right="-4"/>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Proyecto Constructivo, así como sus anexos y resto de documentación facilitada por AIGÜES DE BARCELONA revisten carácter contractual.</w:t>
      </w:r>
    </w:p>
    <w:p w:rsidR="00000000" w:rsidDel="00000000" w:rsidP="00000000" w:rsidRDefault="00000000" w:rsidRPr="00000000" w14:paraId="0000006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6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6C">
      <w:pPr>
        <w:spacing w:after="0" w:line="240" w:lineRule="auto"/>
        <w:ind w:right="-4"/>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jc w:val="center"/>
        <w:rPr/>
      </w:pPr>
      <w:r w:rsidDel="00000000" w:rsidR="00000000" w:rsidRPr="00000000">
        <w:rPr>
          <w:rtl w:val="0"/>
        </w:rPr>
        <w:t xml:space="preserve">ANEXO Nº 2.1.a</w:t>
      </w:r>
    </w:p>
    <w:p w:rsidR="00000000" w:rsidDel="00000000" w:rsidP="00000000" w:rsidRDefault="00000000" w:rsidRPr="00000000" w14:paraId="00000070">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DECLARACIÓN RESPONSABLE</w:t>
      </w:r>
      <w:r w:rsidDel="00000000" w:rsidR="00000000" w:rsidRPr="00000000">
        <w:rPr>
          <w:rtl w:val="0"/>
        </w:rPr>
      </w:r>
    </w:p>
    <w:p w:rsidR="00000000" w:rsidDel="00000000" w:rsidP="00000000" w:rsidRDefault="00000000" w:rsidRPr="00000000" w14:paraId="00000071">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72">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73">
      <w:pPr>
        <w:spacing w:after="120" w:line="276" w:lineRule="auto"/>
        <w:ind w:right="-4"/>
        <w:jc w:val="both"/>
        <w:rPr>
          <w:rFonts w:ascii="Tahoma" w:cs="Tahoma" w:eastAsia="Tahoma" w:hAnsi="Tahoma"/>
          <w:sz w:val="20"/>
          <w:szCs w:val="20"/>
        </w:rPr>
      </w:pPr>
      <w:bookmarkStart w:colFirst="0" w:colLast="0" w:name="_heading=h.28h4qwu" w:id="1"/>
      <w:bookmarkEnd w:id="1"/>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con poderes suficientes para suscribir la presente declaración responsable, en relación con el presente procedimiento de contratación, </w:t>
      </w: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7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el certificado de clasificación de la empresa a la cual representó, expedido a [·], en fecha [·] y número de expediente [·] se mantiene vigente dado que las condiciones y circunstancias que sirvieron de base para su otorgamiento no han experimentado ninguna variación y no tiene abierto ningún expediente de revisión de la clasificación.</w:t>
      </w:r>
    </w:p>
    <w:p w:rsidR="00000000" w:rsidDel="00000000" w:rsidP="00000000" w:rsidRDefault="00000000" w:rsidRPr="00000000" w14:paraId="00000075">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77">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79">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B">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E">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spacing w:after="120" w:line="276" w:lineRule="auto"/>
        <w:ind w:right="-4"/>
        <w:jc w:val="both"/>
        <w:rPr>
          <w:rFonts w:ascii="Tahoma" w:cs="Tahoma" w:eastAsia="Tahoma" w:hAnsi="Tahoma"/>
          <w:i w:val="1"/>
          <w:sz w:val="18"/>
          <w:szCs w:val="18"/>
          <w:u w:val="single"/>
        </w:rPr>
      </w:pPr>
      <w:r w:rsidDel="00000000" w:rsidR="00000000" w:rsidRPr="00000000">
        <w:rPr>
          <w:rFonts w:ascii="Tahoma" w:cs="Tahoma" w:eastAsia="Tahoma" w:hAnsi="Tahoma"/>
          <w:b w:val="1"/>
          <w:i w:val="1"/>
          <w:sz w:val="20"/>
          <w:szCs w:val="20"/>
          <w:rtl w:val="0"/>
        </w:rPr>
        <w:t xml:space="preserve">NOTA: </w:t>
      </w:r>
      <w:r w:rsidDel="00000000" w:rsidR="00000000" w:rsidRPr="00000000">
        <w:rPr>
          <w:rFonts w:ascii="Tahoma" w:cs="Tahoma" w:eastAsia="Tahoma" w:hAnsi="Tahoma"/>
          <w:i w:val="1"/>
          <w:sz w:val="20"/>
          <w:szCs w:val="20"/>
          <w:rtl w:val="0"/>
        </w:rPr>
        <w:t xml:space="preserve">Clasificación empresarial según cláusula 11.A.2.a) de este Pliego.</w:t>
      </w:r>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1"/>
        <w:jc w:val="center"/>
        <w:rPr/>
      </w:pPr>
      <w:r w:rsidDel="00000000" w:rsidR="00000000" w:rsidRPr="00000000">
        <w:rPr>
          <w:rtl w:val="0"/>
        </w:rPr>
        <w:t xml:space="preserve">ANEXO Nº 2.2</w:t>
      </w:r>
    </w:p>
    <w:p w:rsidR="00000000" w:rsidDel="00000000" w:rsidP="00000000" w:rsidRDefault="00000000" w:rsidRPr="00000000" w14:paraId="00000081">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82">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83">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84">
      <w:pPr>
        <w:spacing w:after="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5">
            <w:pPr>
              <w:spacing w:after="20" w:before="20" w:line="276" w:lineRule="auto"/>
              <w:ind w:right="-4"/>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7">
            <w:pPr>
              <w:spacing w:line="276" w:lineRule="auto"/>
              <w:ind w:right="-4"/>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16.372.095,72 €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8">
            <w:pPr>
              <w:spacing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89">
            <w:pPr>
              <w:spacing w:line="276" w:lineRule="auto"/>
              <w:ind w:right="-4"/>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A">
            <w:pPr>
              <w:spacing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8B">
            <w:pPr>
              <w:spacing w:line="276" w:lineRule="auto"/>
              <w:ind w:right="-4"/>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C">
            <w:pPr>
              <w:spacing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8D">
            <w:pPr>
              <w:spacing w:line="276" w:lineRule="auto"/>
              <w:ind w:right="-4"/>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E">
            <w:pPr>
              <w:spacing w:line="276" w:lineRule="auto"/>
              <w:ind w:right="-4"/>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F">
            <w:pPr>
              <w:spacing w:after="20" w:before="20" w:line="276" w:lineRule="auto"/>
              <w:ind w:right="-4"/>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w:t>
            </w:r>
          </w:p>
        </w:tc>
      </w:tr>
      <w:tr>
        <w:trPr>
          <w:cantSplit w:val="0"/>
          <w:trHeight w:val="78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1">
            <w:pPr>
              <w:spacing w:after="120" w:before="12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suministros e instalaciones similares a los del objeto del contrato, efectuados en el curso de los TRES (3) últimos años.</w:t>
            </w:r>
            <w:r w:rsidDel="00000000" w:rsidR="00000000" w:rsidRPr="00000000">
              <w:rPr>
                <w:rtl w:val="0"/>
              </w:rPr>
            </w:r>
          </w:p>
          <w:p w:rsidR="00000000" w:rsidDel="00000000" w:rsidP="00000000" w:rsidRDefault="00000000" w:rsidRPr="00000000" w14:paraId="00000092">
            <w:pPr>
              <w:spacing w:after="120" w:before="120" w:line="276" w:lineRule="auto"/>
              <w:ind w:right="-4"/>
              <w:jc w:val="both"/>
              <w:rPr>
                <w:rFonts w:ascii="Tahoma" w:cs="Tahoma" w:eastAsia="Tahoma" w:hAnsi="Tahoma"/>
                <w:b w:val="1"/>
                <w:color w:val="ff0000"/>
                <w:sz w:val="18"/>
                <w:szCs w:val="18"/>
              </w:rPr>
            </w:pPr>
            <w:r w:rsidDel="00000000" w:rsidR="00000000" w:rsidRPr="00000000">
              <w:rPr>
                <w:rtl w:val="0"/>
              </w:rPr>
            </w:r>
          </w:p>
          <w:p w:rsidR="00000000" w:rsidDel="00000000" w:rsidP="00000000" w:rsidRDefault="00000000" w:rsidRPr="00000000" w14:paraId="00000093">
            <w:pPr>
              <w:spacing w:after="120" w:before="120" w:line="276" w:lineRule="auto"/>
              <w:ind w:right="-4"/>
              <w:jc w:val="both"/>
              <w:rPr>
                <w:rFonts w:ascii="Tahoma" w:cs="Tahoma" w:eastAsia="Tahoma" w:hAnsi="Tahoma"/>
                <w:b w:val="1"/>
                <w:color w:val="ff0000"/>
                <w:sz w:val="18"/>
                <w:szCs w:val="18"/>
              </w:rPr>
            </w:pPr>
            <w:r w:rsidDel="00000000" w:rsidR="00000000" w:rsidRPr="00000000">
              <w:rPr>
                <w:rtl w:val="0"/>
              </w:rPr>
            </w:r>
          </w:p>
          <w:p w:rsidR="00000000" w:rsidDel="00000000" w:rsidP="00000000" w:rsidRDefault="00000000" w:rsidRPr="00000000" w14:paraId="00000094">
            <w:pPr>
              <w:spacing w:after="120" w:before="120" w:line="276" w:lineRule="auto"/>
              <w:ind w:right="-4"/>
              <w:jc w:val="both"/>
              <w:rPr>
                <w:rFonts w:ascii="Tahoma" w:cs="Tahoma" w:eastAsia="Tahoma" w:hAnsi="Tahoma"/>
                <w:i w:val="1"/>
                <w:color w:val="ff0000"/>
                <w:sz w:val="18"/>
                <w:szCs w:val="18"/>
              </w:rPr>
            </w:pPr>
            <w:r w:rsidDel="00000000" w:rsidR="00000000" w:rsidRPr="00000000">
              <w:rPr>
                <w:rFonts w:ascii="Tahoma" w:cs="Tahoma" w:eastAsia="Tahoma" w:hAnsi="Tahoma"/>
                <w:i w:val="1"/>
                <w:sz w:val="18"/>
                <w:szCs w:val="18"/>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sz w:val="18"/>
                <w:szCs w:val="18"/>
                <w:u w:val="single"/>
                <w:rtl w:val="0"/>
              </w:rPr>
              <w:t xml:space="preserve">importe igual o superior a 7.640.311,34 €</w:t>
            </w:r>
            <w:r w:rsidDel="00000000" w:rsidR="00000000" w:rsidRPr="00000000">
              <w:rPr>
                <w:rFonts w:ascii="Tahoma" w:cs="Tahoma" w:eastAsia="Tahoma" w:hAnsi="Tahoma"/>
                <w:i w:val="1"/>
                <w:sz w:val="18"/>
                <w:szCs w:val="18"/>
                <w:rtl w:val="0"/>
              </w:rPr>
              <w:t xml:space="preserve"> referido a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9">
            <w:pPr>
              <w:spacing w:line="276" w:lineRule="auto"/>
              <w:ind w:right="-4"/>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line="276" w:lineRule="auto"/>
              <w:ind w:right="-4"/>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48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5">
            <w:pPr>
              <w:spacing w:before="60" w:line="276" w:lineRule="auto"/>
              <w:ind w:right="-4"/>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bl>
    <w:p w:rsidR="00000000" w:rsidDel="00000000" w:rsidP="00000000" w:rsidRDefault="00000000" w:rsidRPr="00000000" w14:paraId="000000A6">
      <w:pPr>
        <w:spacing w:after="120" w:line="276" w:lineRule="auto"/>
        <w:ind w:right="-4"/>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A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A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A9">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2 </w:t>
      </w:r>
      <w:r w:rsidDel="00000000" w:rsidR="00000000" w:rsidRPr="00000000">
        <w:rPr>
          <w:rFonts w:ascii="Tahoma" w:cs="Tahoma" w:eastAsia="Tahoma" w:hAnsi="Tahoma"/>
          <w:i w:val="1"/>
          <w:color w:val="767171"/>
          <w:sz w:val="18"/>
          <w:szCs w:val="18"/>
          <w:rtl w:val="0"/>
        </w:rPr>
        <w:t xml:space="preserve">Solvencia técnica a declarar según la cláusula 11.A.2.b) de este Pliego. Únicamente las empresas exentas de clasificación (empresas de Estados miembros de la Unión Europea o de Estados signatarios del Acuerdo sobre el Espacio Económico Europeo) será necesario que aporten debidamente agasajado este Anexo.</w:t>
      </w:r>
    </w:p>
    <w:p w:rsidR="00000000" w:rsidDel="00000000" w:rsidP="00000000" w:rsidRDefault="00000000" w:rsidRPr="00000000" w14:paraId="000000AA">
      <w:pPr>
        <w:spacing w:after="120" w:line="276" w:lineRule="auto"/>
        <w:ind w:right="-4"/>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B">
      <w:pPr>
        <w:pStyle w:val="Heading1"/>
        <w:jc w:val="center"/>
        <w:rPr/>
      </w:pPr>
      <w:r w:rsidDel="00000000" w:rsidR="00000000" w:rsidRPr="00000000">
        <w:rPr>
          <w:rtl w:val="0"/>
        </w:rPr>
        <w:t xml:space="preserve">ANEXO Nº 3.1</w:t>
      </w:r>
    </w:p>
    <w:p w:rsidR="00000000" w:rsidDel="00000000" w:rsidP="00000000" w:rsidRDefault="00000000" w:rsidRPr="00000000" w14:paraId="000000A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INTEGRACIÓN DE SOLVENCIA</w:t>
      </w:r>
    </w:p>
    <w:p w:rsidR="00000000" w:rsidDel="00000000" w:rsidP="00000000" w:rsidRDefault="00000000" w:rsidRPr="00000000" w14:paraId="000000A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AE">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A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una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B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otra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B1">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0B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para dar cumplimiento a los requisitos de solvencia exigidos es necesario que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complete su solvencia mediante la integración de la solvencia de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B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0B4">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0B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en caso de que resulte adjudicatario del presente Contrato integrará su solvencia con [·][</w:t>
      </w:r>
      <w:r w:rsidDel="00000000" w:rsidR="00000000" w:rsidRPr="00000000">
        <w:rPr>
          <w:rFonts w:ascii="Tahoma" w:cs="Tahoma" w:eastAsia="Tahoma" w:hAnsi="Tahoma"/>
          <w:i w:val="1"/>
          <w:sz w:val="20"/>
          <w:szCs w:val="20"/>
          <w:rtl w:val="0"/>
        </w:rPr>
        <w:t xml:space="preserve">entidad con la que se integre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B6">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para que así conste se suscribe el presente compromiso en [·], a [·] de [·] de [·].</w:t>
      </w:r>
    </w:p>
    <w:p w:rsidR="00000000" w:rsidDel="00000000" w:rsidP="00000000" w:rsidRDefault="00000000" w:rsidRPr="00000000" w14:paraId="000000B8">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9">
      <w:pPr>
        <w:spacing w:after="120" w:line="276" w:lineRule="auto"/>
        <w:ind w:right="-4"/>
        <w:jc w:val="both"/>
        <w:rPr>
          <w:rFonts w:ascii="Tahoma" w:cs="Tahoma" w:eastAsia="Tahoma" w:hAnsi="Tahoma"/>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B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B">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B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 la entidad con la que se integra solvencia)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D">
            <w:pPr>
              <w:spacing w:after="120" w:line="276" w:lineRule="auto"/>
              <w:ind w:right="-4"/>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BE">
      <w:pPr>
        <w:tabs>
          <w:tab w:val="center" w:leader="none" w:pos="4252"/>
          <w:tab w:val="right" w:leader="none" w:pos="8504"/>
        </w:tabs>
        <w:spacing w:after="120" w:line="276" w:lineRule="auto"/>
        <w:ind w:right="-4"/>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0BF">
      <w:pPr>
        <w:tabs>
          <w:tab w:val="center" w:leader="none" w:pos="4252"/>
          <w:tab w:val="right" w:leader="none" w:pos="8504"/>
        </w:tabs>
        <w:spacing w:after="120" w:line="276" w:lineRule="auto"/>
        <w:ind w:right="-4"/>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w:t>
      </w:r>
      <w:r w:rsidDel="00000000" w:rsidR="00000000" w:rsidRPr="00000000">
        <w:rPr>
          <w:rFonts w:ascii="Tahoma" w:cs="Tahoma" w:eastAsia="Tahoma" w:hAnsi="Tahoma"/>
          <w:i w:val="1"/>
          <w:sz w:val="20"/>
          <w:szCs w:val="20"/>
          <w:rtl w:val="0"/>
        </w:rPr>
        <w:t xml:space="preserve"> En caso de rellenar este impreso se tendrá que entregar, además: </w:t>
      </w:r>
    </w:p>
    <w:p w:rsidR="00000000" w:rsidDel="00000000" w:rsidP="00000000" w:rsidRDefault="00000000" w:rsidRPr="00000000" w14:paraId="000000C0">
      <w:pPr>
        <w:numPr>
          <w:ilvl w:val="0"/>
          <w:numId w:val="6"/>
        </w:numPr>
        <w:tabs>
          <w:tab w:val="center" w:leader="none" w:pos="4818"/>
          <w:tab w:val="right" w:leader="none" w:pos="9070"/>
        </w:tabs>
        <w:spacing w:after="120" w:line="276" w:lineRule="auto"/>
        <w:ind w:left="720" w:right="-4" w:hanging="360"/>
        <w:jc w:val="both"/>
        <w:rPr>
          <w:rFonts w:ascii="Tahoma" w:cs="Tahoma" w:eastAsia="Tahoma" w:hAnsi="Tahoma"/>
          <w:i w:val="1"/>
          <w:sz w:val="20"/>
          <w:szCs w:val="20"/>
        </w:rPr>
      </w:pPr>
      <w:bookmarkStart w:colFirst="0" w:colLast="0" w:name="_heading=h.46r0co2" w:id="2"/>
      <w:bookmarkEnd w:id="2"/>
      <w:r w:rsidDel="00000000" w:rsidR="00000000" w:rsidRPr="00000000">
        <w:rPr>
          <w:rFonts w:ascii="Tahoma" w:cs="Tahoma" w:eastAsia="Tahoma" w:hAnsi="Tahoma"/>
          <w:i w:val="1"/>
          <w:sz w:val="20"/>
          <w:szCs w:val="20"/>
          <w:rtl w:val="0"/>
        </w:rPr>
        <w:t xml:space="preserve">Opción 1 cláusula 11.A): Declaraciones responsables cumplimentadas por las entidades a las que recurra (Anexo Nº 1 o Nº 2.2 según proceda).</w:t>
      </w:r>
    </w:p>
    <w:p w:rsidR="00000000" w:rsidDel="00000000" w:rsidP="00000000" w:rsidRDefault="00000000" w:rsidRPr="00000000" w14:paraId="000000C1">
      <w:pPr>
        <w:numPr>
          <w:ilvl w:val="0"/>
          <w:numId w:val="6"/>
        </w:numPr>
        <w:tabs>
          <w:tab w:val="center" w:leader="none" w:pos="4818"/>
          <w:tab w:val="right" w:leader="none" w:pos="9070"/>
        </w:tabs>
        <w:spacing w:after="120" w:line="276" w:lineRule="auto"/>
        <w:ind w:left="720" w:right="-4"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Opción 2 cláusula 11.A): DEUC cumplimentados por las entidades a las que recurra.</w:t>
      </w:r>
      <w:r w:rsidDel="00000000" w:rsidR="00000000" w:rsidRPr="00000000">
        <w:br w:type="page"/>
      </w:r>
      <w:r w:rsidDel="00000000" w:rsidR="00000000" w:rsidRPr="00000000">
        <w:rPr>
          <w:rtl w:val="0"/>
        </w:rPr>
      </w:r>
    </w:p>
    <w:p w:rsidR="00000000" w:rsidDel="00000000" w:rsidP="00000000" w:rsidRDefault="00000000" w:rsidRPr="00000000" w14:paraId="000000C2">
      <w:pPr>
        <w:pStyle w:val="Heading1"/>
        <w:jc w:val="center"/>
        <w:rPr/>
      </w:pPr>
      <w:r w:rsidDel="00000000" w:rsidR="00000000" w:rsidRPr="00000000">
        <w:rPr>
          <w:rtl w:val="0"/>
        </w:rPr>
        <w:t xml:space="preserve">ANEXO Nº 3.2</w:t>
      </w:r>
    </w:p>
    <w:p w:rsidR="00000000" w:rsidDel="00000000" w:rsidP="00000000" w:rsidRDefault="00000000" w:rsidRPr="00000000" w14:paraId="000000C3">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 SUBCONTRATACIÓN</w:t>
      </w:r>
    </w:p>
    <w:p w:rsidR="00000000" w:rsidDel="00000000" w:rsidP="00000000" w:rsidRDefault="00000000" w:rsidRPr="00000000" w14:paraId="000000C4">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C5">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0C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tiene previsto subcontratar las prestaciones que se detallan seguidamente, con los operadores económicos que se indican:  </w:t>
      </w:r>
    </w:p>
    <w:tbl>
      <w:tblPr>
        <w:tblStyle w:val="Table3"/>
        <w:tblW w:w="89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39"/>
        <w:gridCol w:w="2846"/>
        <w:gridCol w:w="1581"/>
        <w:gridCol w:w="2744"/>
        <w:tblGridChange w:id="0">
          <w:tblGrid>
            <w:gridCol w:w="1739"/>
            <w:gridCol w:w="2846"/>
            <w:gridCol w:w="1581"/>
            <w:gridCol w:w="2744"/>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7">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para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8">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para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9">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0CA">
            <w:pPr>
              <w:spacing w:after="120" w:line="276" w:lineRule="auto"/>
              <w:ind w:right="-4"/>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B">
            <w:pPr>
              <w:spacing w:after="120" w:line="276" w:lineRule="auto"/>
              <w:ind w:right="-4"/>
              <w:jc w:val="center"/>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La subcontratación integra la solvencia</w:t>
            </w:r>
            <w:r w:rsidDel="00000000" w:rsidR="00000000" w:rsidRPr="00000000">
              <w:rPr>
                <w:rFonts w:ascii="Tahoma" w:cs="Tahoma" w:eastAsia="Tahoma" w:hAnsi="Tahoma"/>
                <w:sz w:val="20"/>
                <w:szCs w:val="20"/>
                <w:vertAlign w:val="superscript"/>
                <w:rtl w:val="0"/>
              </w:rPr>
              <w:t xml:space="preserve">1</w:t>
            </w:r>
          </w:p>
          <w:p w:rsidR="00000000" w:rsidDel="00000000" w:rsidP="00000000" w:rsidRDefault="00000000" w:rsidRPr="00000000" w14:paraId="000000CC">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D">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E">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F">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0">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1">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2">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3">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4">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5">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6">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7">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8">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9">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A">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B">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C">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D">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E">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F">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0">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1">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2">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3">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4">
            <w:pPr>
              <w:spacing w:after="120" w:line="276" w:lineRule="auto"/>
              <w:ind w:right="-4"/>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E5">
      <w:pPr>
        <w:widowControl w:val="0"/>
        <w:spacing w:after="120" w:line="276" w:lineRule="auto"/>
        <w:ind w:right="-4"/>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E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E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E8">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9">
      <w:pPr>
        <w:spacing w:after="0" w:before="120" w:lineRule="auto"/>
        <w:ind w:right="-4"/>
        <w:jc w:val="both"/>
        <w:rPr>
          <w:rFonts w:ascii="Tahoma" w:cs="Tahoma" w:eastAsia="Tahoma" w:hAnsi="Tahoma"/>
          <w:i w:val="1"/>
          <w:color w:val="767171"/>
          <w:sz w:val="18"/>
          <w:szCs w:val="18"/>
          <w:u w:val="single"/>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En todo caso, de integrarse solvencia, </w:t>
      </w:r>
      <w:r w:rsidDel="00000000" w:rsidR="00000000" w:rsidRPr="00000000">
        <w:rPr>
          <w:rFonts w:ascii="Tahoma" w:cs="Tahoma" w:eastAsia="Tahoma" w:hAnsi="Tahoma"/>
          <w:i w:val="1"/>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0EA">
      <w:pPr>
        <w:pStyle w:val="Heading1"/>
        <w:jc w:val="center"/>
        <w:rPr>
          <w:b w:val="0"/>
          <w:vertAlign w:val="superscript"/>
        </w:rPr>
      </w:pPr>
      <w:r w:rsidDel="00000000" w:rsidR="00000000" w:rsidRPr="00000000">
        <w:br w:type="page"/>
      </w:r>
      <w:r w:rsidDel="00000000" w:rsidR="00000000" w:rsidRPr="00000000">
        <w:rPr>
          <w:rtl w:val="0"/>
        </w:rPr>
        <w:t xml:space="preserve">ANEXO Nº 4</w:t>
      </w:r>
      <w:r w:rsidDel="00000000" w:rsidR="00000000" w:rsidRPr="00000000">
        <w:rPr>
          <w:rtl w:val="0"/>
        </w:rPr>
      </w:r>
    </w:p>
    <w:p w:rsidR="00000000" w:rsidDel="00000000" w:rsidP="00000000" w:rsidRDefault="00000000" w:rsidRPr="00000000" w14:paraId="000000EB">
      <w:pPr>
        <w:spacing w:after="120" w:before="120"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ADSCRIPCIÓN DE MEDIOS</w:t>
      </w:r>
    </w:p>
    <w:p w:rsidR="00000000" w:rsidDel="00000000" w:rsidP="00000000" w:rsidRDefault="00000000" w:rsidRPr="00000000" w14:paraId="000000EC">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ED">
      <w:pPr>
        <w:spacing w:after="24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AB/2025/177)</w:t>
      </w:r>
      <w:r w:rsidDel="00000000" w:rsidR="00000000" w:rsidRPr="00000000">
        <w:rPr>
          <w:rtl w:val="0"/>
        </w:rPr>
      </w:r>
    </w:p>
    <w:p w:rsidR="00000000" w:rsidDel="00000000" w:rsidP="00000000" w:rsidRDefault="00000000" w:rsidRPr="00000000" w14:paraId="000000E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tabs>
          <w:tab w:val="left" w:leader="none" w:pos="0"/>
        </w:tabs>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al exigido al Pliego de condiciones Particulares que rige la licitación relativa al procedimiento de contratación de </w:t>
      </w:r>
      <w:r w:rsidDel="00000000" w:rsidR="00000000" w:rsidRPr="00000000">
        <w:rPr>
          <w:rFonts w:ascii="Tahoma" w:cs="Tahoma" w:eastAsia="Tahoma" w:hAnsi="Tahoma"/>
          <w:b w:val="1"/>
          <w:sz w:val="20"/>
          <w:szCs w:val="20"/>
          <w:rtl w:val="0"/>
        </w:rPr>
        <w:t xml:space="preserve">Obra de construcción de la nueva tubería de impulsión del interceptor de Castelldefels </w:t>
      </w:r>
      <w:r w:rsidDel="00000000" w:rsidR="00000000" w:rsidRPr="00000000">
        <w:rPr>
          <w:rFonts w:ascii="Tahoma" w:cs="Tahoma" w:eastAsia="Tahoma" w:hAnsi="Tahoma"/>
          <w:sz w:val="20"/>
          <w:szCs w:val="20"/>
          <w:rtl w:val="0"/>
        </w:rPr>
        <w:t xml:space="preserve">por la presente me comprometo a:</w:t>
      </w:r>
    </w:p>
    <w:p w:rsidR="00000000" w:rsidDel="00000000" w:rsidP="00000000" w:rsidRDefault="00000000" w:rsidRPr="00000000" w14:paraId="000000F0">
      <w:pPr>
        <w:tabs>
          <w:tab w:val="left" w:leader="none" w:pos="0"/>
        </w:tabs>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Disponer y adscribir a la ejecución del Contrato [·] </w:t>
      </w:r>
    </w:p>
    <w:p w:rsidR="00000000" w:rsidDel="00000000" w:rsidP="00000000" w:rsidRDefault="00000000" w:rsidRPr="00000000" w14:paraId="000000F2">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Todo esto, según los requisitos establecidos al Proyecto Constructivo y al resto de documentación contractual.</w:t>
      </w:r>
    </w:p>
    <w:p w:rsidR="00000000" w:rsidDel="00000000" w:rsidP="00000000" w:rsidRDefault="00000000" w:rsidRPr="00000000" w14:paraId="000000F4">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F6">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F8">
      <w:pPr>
        <w:spacing w:after="120" w:line="276" w:lineRule="auto"/>
        <w:ind w:right="-4"/>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F9">
      <w:pPr>
        <w:spacing w:after="120" w:line="276" w:lineRule="auto"/>
        <w:ind w:right="-4"/>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FA">
      <w:pPr>
        <w:spacing w:after="120" w:line="276" w:lineRule="auto"/>
        <w:ind w:right="-4"/>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 </w:t>
      </w:r>
      <w:r w:rsidDel="00000000" w:rsidR="00000000" w:rsidRPr="00000000">
        <w:rPr>
          <w:rFonts w:ascii="Tahoma" w:cs="Tahoma" w:eastAsia="Tahoma" w:hAnsi="Tahoma"/>
          <w:i w:val="1"/>
          <w:sz w:val="20"/>
          <w:szCs w:val="20"/>
          <w:rtl w:val="0"/>
        </w:rPr>
        <w:t xml:space="preserve">Describir el equipo técnico del que se dispondrá durante la vigencia del Contrato, dando cumplimiento en todo caso al requisito de la cláusula 11.A.3 de este Pliego.</w:t>
      </w:r>
      <w:r w:rsidDel="00000000" w:rsidR="00000000" w:rsidRPr="00000000">
        <w:br w:type="page"/>
      </w:r>
      <w:r w:rsidDel="00000000" w:rsidR="00000000" w:rsidRPr="00000000">
        <w:rPr>
          <w:rtl w:val="0"/>
        </w:rPr>
      </w:r>
    </w:p>
    <w:p w:rsidR="00000000" w:rsidDel="00000000" w:rsidP="00000000" w:rsidRDefault="00000000" w:rsidRPr="00000000" w14:paraId="000000FB">
      <w:pPr>
        <w:pStyle w:val="Heading1"/>
        <w:jc w:val="center"/>
        <w:rPr/>
      </w:pPr>
      <w:r w:rsidDel="00000000" w:rsidR="00000000" w:rsidRPr="00000000">
        <w:rPr>
          <w:rtl w:val="0"/>
        </w:rPr>
        <w:t xml:space="preserve">ANEXO Nº 5</w:t>
      </w:r>
    </w:p>
    <w:p w:rsidR="00000000" w:rsidDel="00000000" w:rsidP="00000000" w:rsidRDefault="00000000" w:rsidRPr="00000000" w14:paraId="000000F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FD">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 Y TODO RIESGO CONSTRUCCIÓN</w:t>
      </w:r>
    </w:p>
    <w:p w:rsidR="00000000" w:rsidDel="00000000" w:rsidP="00000000" w:rsidRDefault="00000000" w:rsidRPr="00000000" w14:paraId="000000FE">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0FF">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00">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11.A.</w:t>
      </w:r>
      <w:r w:rsidDel="00000000" w:rsidR="00000000" w:rsidRPr="00000000">
        <w:rPr>
          <w:rFonts w:ascii="Tahoma" w:cs="Tahoma" w:eastAsia="Tahoma" w:hAnsi="Tahoma"/>
          <w:color w:val="000000"/>
          <w:sz w:val="20"/>
          <w:szCs w:val="20"/>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5.000.000 €</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02">
      <w:pPr>
        <w:spacing w:after="120" w:line="276" w:lineRule="auto"/>
        <w:ind w:right="-4"/>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03">
      <w:pPr>
        <w:numPr>
          <w:ilvl w:val="0"/>
          <w:numId w:val="8"/>
        </w:numPr>
        <w:spacing w:after="120" w:line="276" w:lineRule="auto"/>
        <w:ind w:left="786" w:right="-4"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04">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1.500.000 €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5">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106">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107">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08">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09">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0A">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 </w:t>
      </w:r>
    </w:p>
    <w:p w:rsidR="00000000" w:rsidDel="00000000" w:rsidP="00000000" w:rsidRDefault="00000000" w:rsidRPr="00000000" w14:paraId="0000010B">
      <w:pPr>
        <w:numPr>
          <w:ilvl w:val="0"/>
          <w:numId w:val="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sz w:val="20"/>
          <w:szCs w:val="20"/>
          <w:rtl w:val="0"/>
        </w:rPr>
        <w:t xml:space="preserve">3.000.000 €</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10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Asimismo, me comprometo a subscribir un seguro de la modalidad "Todo Riesgo Construcción" en los términos detallados en la cláusula 14 del Contrato Tipo.</w:t>
      </w:r>
    </w:p>
    <w:p w:rsidR="00000000" w:rsidDel="00000000" w:rsidP="00000000" w:rsidRDefault="00000000" w:rsidRPr="00000000" w14:paraId="0000010D">
      <w:pPr>
        <w:spacing w:after="120" w:before="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0E">
      <w:pPr>
        <w:spacing w:after="120" w:line="276" w:lineRule="auto"/>
        <w:ind w:right="-4"/>
        <w:jc w:val="both"/>
        <w:rPr>
          <w:rFonts w:ascii="Tahoma" w:cs="Tahoma" w:eastAsia="Tahoma" w:hAnsi="Tahoma"/>
          <w:sz w:val="20"/>
          <w:szCs w:val="20"/>
        </w:rPr>
        <w:sectPr>
          <w:footerReference r:id="rId13" w:type="default"/>
          <w:type w:val="nextPage"/>
          <w:pgSz w:h="16838" w:w="11906" w:orient="portrait"/>
          <w:pgMar w:bottom="1417" w:top="1417" w:left="1701" w:right="1285"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0F">
      <w:pPr>
        <w:pStyle w:val="Heading1"/>
        <w:jc w:val="center"/>
        <w:rPr/>
      </w:pPr>
      <w:r w:rsidDel="00000000" w:rsidR="00000000" w:rsidRPr="00000000">
        <w:rPr>
          <w:rtl w:val="0"/>
        </w:rPr>
        <w:t xml:space="preserve">ANEXO Nº 6</w:t>
      </w:r>
    </w:p>
    <w:p w:rsidR="00000000" w:rsidDel="00000000" w:rsidP="00000000" w:rsidRDefault="00000000" w:rsidRPr="00000000" w14:paraId="0000011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VISITA)</w:t>
      </w:r>
    </w:p>
    <w:p w:rsidR="00000000" w:rsidDel="00000000" w:rsidP="00000000" w:rsidRDefault="00000000" w:rsidRPr="00000000" w14:paraId="00000111">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12">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13">
      <w:pPr>
        <w:spacing w:after="120" w:before="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 con NIF [·], declara que en el día de hoy ha visitado las instalaciones objeto del presente procedimiento de contratación, convocado por AIGÜES DE BARCELONA, EMPRESA METROPOLITANA DE GESTIÓ DEL CICLE INTEGRAL DE L’AIGUA, S.A.</w:t>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4">
            <w:pPr>
              <w:spacing w:after="120" w:before="120" w:line="276" w:lineRule="auto"/>
              <w:ind w:right="-409"/>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5">
            <w:pPr>
              <w:spacing w:after="120" w:before="120" w:line="276" w:lineRule="auto"/>
              <w:ind w:right="8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6">
            <w:pPr>
              <w:spacing w:after="120" w:before="120" w:line="276" w:lineRule="auto"/>
              <w:ind w:right="-1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7">
            <w:pPr>
              <w:spacing w:after="120" w:before="120" w:line="276" w:lineRule="auto"/>
              <w:ind w:right="-5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8">
            <w:pPr>
              <w:spacing w:after="120" w:before="120" w:line="276" w:lineRule="auto"/>
              <w:ind w:right="-12"/>
              <w:rPr>
                <w:rFonts w:ascii="Tahoma" w:cs="Tahoma" w:eastAsia="Tahoma" w:hAnsi="Tahoma"/>
                <w:sz w:val="20"/>
                <w:szCs w:val="20"/>
              </w:rPr>
            </w:pPr>
            <w:r w:rsidDel="00000000" w:rsidR="00000000" w:rsidRPr="00000000">
              <w:rPr>
                <w:rFonts w:ascii="Tahoma" w:cs="Tahoma" w:eastAsia="Tahoma" w:hAnsi="Tahoma"/>
                <w:sz w:val="20"/>
                <w:szCs w:val="20"/>
                <w:rtl w:val="0"/>
              </w:rPr>
              <w:t xml:space="preserve">INTERCEPTOR DE CASTELLDEFELS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9">
            <w:pPr>
              <w:spacing w:after="120" w:before="120" w:line="276" w:lineRule="auto"/>
              <w:ind w:right="42"/>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A">
            <w:pPr>
              <w:spacing w:after="120" w:before="120" w:line="276" w:lineRule="auto"/>
              <w:ind w:right="-25"/>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B">
            <w:pPr>
              <w:spacing w:after="120" w:before="120" w:line="276" w:lineRule="auto"/>
              <w:ind w:right="-77"/>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1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1E">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1F">
      <w:pPr>
        <w:pStyle w:val="Heading1"/>
        <w:jc w:val="center"/>
        <w:rPr/>
      </w:pPr>
      <w:r w:rsidDel="00000000" w:rsidR="00000000" w:rsidRPr="00000000">
        <w:rPr>
          <w:rtl w:val="0"/>
        </w:rPr>
        <w:t xml:space="preserve">ANEXO Nº 7</w:t>
      </w:r>
    </w:p>
    <w:p w:rsidR="00000000" w:rsidDel="00000000" w:rsidP="00000000" w:rsidRDefault="00000000" w:rsidRPr="00000000" w14:paraId="00000120">
      <w:pPr>
        <w:spacing w:after="120" w:line="276" w:lineRule="auto"/>
        <w:jc w:val="center"/>
        <w:rPr>
          <w:rFonts w:ascii="Tahoma" w:cs="Tahoma" w:eastAsia="Tahoma" w:hAnsi="Tahoma"/>
          <w:b w:val="1"/>
          <w:sz w:val="20"/>
          <w:szCs w:val="20"/>
          <w:highlight w:val="cyan"/>
          <w:u w:val="single"/>
        </w:rPr>
      </w:pPr>
      <w:r w:rsidDel="00000000" w:rsidR="00000000" w:rsidRPr="00000000">
        <w:rPr>
          <w:rFonts w:ascii="Tahoma" w:cs="Tahoma" w:eastAsia="Tahoma" w:hAnsi="Tahoma"/>
          <w:b w:val="1"/>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21">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22">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23">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con DNI [·], actuando en nombre propio/ en representación de la sociedad [·], con NIF [·], actuando en su condición de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25">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z w:val="20"/>
          <w:szCs w:val="20"/>
          <w:rtl w:val="0"/>
        </w:rPr>
        <w:t xml:space="preserve">condiciones especiales de ejecución</w:t>
      </w:r>
      <w:r w:rsidDel="00000000" w:rsidR="00000000" w:rsidRPr="00000000">
        <w:rPr>
          <w:rFonts w:ascii="Tahoma" w:cs="Tahoma" w:eastAsia="Tahoma" w:hAnsi="Tahoma"/>
          <w:sz w:val="20"/>
          <w:szCs w:val="20"/>
          <w:rtl w:val="0"/>
        </w:rPr>
        <w:t xml:space="preserve"> previstas en la Cláusula 19 del presente Pliego de Condiciones Particulares en el caso de resultar adjudicatario del Contrato.</w:t>
      </w:r>
    </w:p>
    <w:p w:rsidR="00000000" w:rsidDel="00000000" w:rsidP="00000000" w:rsidRDefault="00000000" w:rsidRPr="00000000" w14:paraId="0000012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2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2A">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2B">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spacing w:after="240" w:line="276"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2D">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2E">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2F">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0">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31">
      <w:pPr>
        <w:pStyle w:val="Heading1"/>
        <w:ind w:right="-6"/>
        <w:jc w:val="center"/>
        <w:rPr/>
      </w:pPr>
      <w:r w:rsidDel="00000000" w:rsidR="00000000" w:rsidRPr="00000000">
        <w:rPr>
          <w:rtl w:val="0"/>
        </w:rPr>
        <w:t xml:space="preserve">ANEXO Nº 8</w:t>
      </w:r>
    </w:p>
    <w:p w:rsidR="00000000" w:rsidDel="00000000" w:rsidP="00000000" w:rsidRDefault="00000000" w:rsidRPr="00000000" w14:paraId="00000132">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33">
      <w:pPr>
        <w:spacing w:after="120" w:line="276" w:lineRule="auto"/>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34">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35">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36">
      <w:pPr>
        <w:spacing w:after="120" w:line="276" w:lineRule="auto"/>
        <w:ind w:left="-135" w:right="-409"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37">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Aplicación sobre todos los precios unitarios del Presupuesto del Proyecto Constructivo de las referidas obras, una </w:t>
      </w:r>
      <w:r w:rsidDel="00000000" w:rsidR="00000000" w:rsidRPr="00000000">
        <w:rPr>
          <w:rFonts w:ascii="Tahoma" w:cs="Tahoma" w:eastAsia="Tahoma" w:hAnsi="Tahoma"/>
          <w:b w:val="1"/>
          <w:sz w:val="20"/>
          <w:szCs w:val="20"/>
          <w:rtl w:val="0"/>
        </w:rPr>
        <w:t xml:space="preserve">baja lineal [·]</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(Con excepción de a justificar por seguridad y salud en la obra según presupuesto del Estudio de Seguridad y Salud (XPAUPSIS) y la partida alzada a justificar a disposición de la Dirección de Obra (XPAJDD01).)</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3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39">
      <w:pPr>
        <w:spacing w:after="120" w:line="276" w:lineRule="auto"/>
        <w:ind w:left="-141"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3C">
      <w:pPr>
        <w:spacing w:after="240" w:line="240" w:lineRule="auto"/>
        <w:ind w:right="-409"/>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3D">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3E">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3F">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40">
      <w:pPr>
        <w:spacing w:after="120" w:line="276" w:lineRule="auto"/>
        <w:ind w:left="-141" w:right="-409" w:firstLine="0"/>
        <w:jc w:val="both"/>
        <w:rPr>
          <w:rFonts w:ascii="Tahoma" w:cs="Tahoma" w:eastAsia="Tahoma" w:hAnsi="Tahoma"/>
          <w:i w:val="1"/>
          <w:color w:val="767171"/>
          <w:sz w:val="18"/>
          <w:szCs w:val="18"/>
        </w:rPr>
      </w:pPr>
      <w:bookmarkStart w:colFirst="0" w:colLast="0" w:name="_heading=h.206ipza" w:id="3"/>
      <w:bookmarkEnd w:id="3"/>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41">
      <w:pPr>
        <w:spacing w:after="120" w:line="276" w:lineRule="auto"/>
        <w:ind w:left="-141" w:right="-409" w:firstLine="0"/>
        <w:jc w:val="both"/>
        <w:rPr>
          <w:rFonts w:ascii="Tahoma" w:cs="Tahoma" w:eastAsia="Tahoma" w:hAnsi="Tahoma"/>
          <w:color w:val="000000"/>
          <w:sz w:val="20"/>
          <w:szCs w:val="20"/>
        </w:rPr>
      </w:pPr>
      <w:r w:rsidDel="00000000" w:rsidR="00000000" w:rsidRPr="00000000">
        <w:rPr>
          <w:rFonts w:ascii="Tahoma" w:cs="Tahoma" w:eastAsia="Tahoma" w:hAnsi="Tahoma"/>
          <w:i w:val="1"/>
          <w:color w:val="767171"/>
          <w:sz w:val="18"/>
          <w:szCs w:val="18"/>
          <w:rtl w:val="0"/>
        </w:rPr>
        <w:t xml:space="preserve">3.- Los parámetros en base a los cuáles se determinará cuando una oferta económica es anormalmente baja, se establecen en la Cláusula 15.5 del Pliego de condiciones Particulares.</w:t>
      </w:r>
      <w:r w:rsidDel="00000000" w:rsidR="00000000" w:rsidRPr="00000000">
        <w:rPr>
          <w:rtl w:val="0"/>
        </w:rPr>
      </w:r>
    </w:p>
    <w:p w:rsidR="00000000" w:rsidDel="00000000" w:rsidP="00000000" w:rsidRDefault="00000000" w:rsidRPr="00000000" w14:paraId="00000142">
      <w:pPr>
        <w:spacing w:after="120" w:line="276" w:lineRule="auto"/>
        <w:ind w:left="-141" w:right="-409" w:firstLine="0"/>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43">
      <w:pPr>
        <w:spacing w:after="120" w:line="276" w:lineRule="auto"/>
        <w:ind w:left="-141" w:right="-409" w:firstLine="0"/>
        <w:jc w:val="center"/>
        <w:rPr>
          <w:rFonts w:ascii="Tahoma" w:cs="Tahoma" w:eastAsia="Tahoma" w:hAnsi="Tahoma"/>
          <w:color w:val="2f5496"/>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144">
      <w:pPr>
        <w:pStyle w:val="Heading1"/>
        <w:ind w:right="-6"/>
        <w:jc w:val="center"/>
        <w:rPr/>
      </w:pPr>
      <w:bookmarkStart w:colFirst="0" w:colLast="0" w:name="_heading=h.ebymnifuvjj3" w:id="4"/>
      <w:bookmarkEnd w:id="4"/>
      <w:r w:rsidDel="00000000" w:rsidR="00000000" w:rsidRPr="00000000">
        <w:rPr>
          <w:rtl w:val="0"/>
        </w:rPr>
        <w:t xml:space="preserve">ANEXO Nº 9</w:t>
      </w:r>
    </w:p>
    <w:p w:rsidR="00000000" w:rsidDel="00000000" w:rsidP="00000000" w:rsidRDefault="00000000" w:rsidRPr="00000000" w14:paraId="00000145">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46">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MÁXIMO DE EJECUCIÓN</w:t>
      </w:r>
    </w:p>
    <w:p w:rsidR="00000000" w:rsidDel="00000000" w:rsidP="00000000" w:rsidRDefault="00000000" w:rsidRPr="00000000" w14:paraId="00000147">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48">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49">
      <w:pPr>
        <w:spacing w:after="120" w:line="276" w:lineRule="auto"/>
        <w:ind w:right="-409"/>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r w:rsidDel="00000000" w:rsidR="00000000" w:rsidRPr="00000000">
        <w:rPr>
          <w:rtl w:val="0"/>
        </w:rPr>
      </w:r>
    </w:p>
    <w:p w:rsidR="00000000" w:rsidDel="00000000" w:rsidP="00000000" w:rsidRDefault="00000000" w:rsidRPr="00000000" w14:paraId="0000014A">
      <w:pPr>
        <w:numPr>
          <w:ilvl w:val="0"/>
          <w:numId w:val="10"/>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máximo de ejecución de las prestaciones: </w:t>
      </w:r>
      <w:r w:rsidDel="00000000" w:rsidR="00000000" w:rsidRPr="00000000">
        <w:rPr>
          <w:rFonts w:ascii="Tahoma" w:cs="Tahoma" w:eastAsia="Tahoma" w:hAnsi="Tahoma"/>
          <w:b w:val="1"/>
          <w:sz w:val="20"/>
          <w:szCs w:val="20"/>
          <w:rtl w:val="0"/>
        </w:rPr>
        <w:t xml:space="preserve">[·] MESES</w:t>
      </w:r>
      <w:r w:rsidDel="00000000" w:rsidR="00000000" w:rsidRPr="00000000">
        <w:rPr>
          <w:rFonts w:ascii="Tahoma" w:cs="Tahoma" w:eastAsia="Tahoma" w:hAnsi="Tahoma"/>
          <w:sz w:val="20"/>
          <w:szCs w:val="20"/>
          <w:rtl w:val="0"/>
        </w:rPr>
        <w:t xml:space="preserve"> a contar desde la firma de la Acta de Comprobación de Replanteo.</w:t>
      </w:r>
    </w:p>
    <w:p w:rsidR="00000000" w:rsidDel="00000000" w:rsidP="00000000" w:rsidRDefault="00000000" w:rsidRPr="00000000" w14:paraId="0000014B">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C">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D">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4E">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4F">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0">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5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52">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 del Cuadro-Resumen de Características y determinado en el Proyecto Constructivo</w:t>
      </w:r>
    </w:p>
    <w:p w:rsidR="00000000" w:rsidDel="00000000" w:rsidP="00000000" w:rsidRDefault="00000000" w:rsidRPr="00000000" w14:paraId="00000153">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54">
      <w:pPr>
        <w:spacing w:after="120" w:line="240" w:lineRule="auto"/>
        <w:ind w:left="-141" w:right="-409" w:firstLine="0"/>
        <w:jc w:val="both"/>
        <w:rPr>
          <w:rFonts w:ascii="Tahoma" w:cs="Tahoma" w:eastAsia="Tahoma" w:hAnsi="Tahoma"/>
          <w:color w:val="000000"/>
          <w:sz w:val="20"/>
          <w:szCs w:val="20"/>
        </w:rPr>
      </w:pPr>
      <w:r w:rsidDel="00000000" w:rsidR="00000000" w:rsidRPr="00000000">
        <w:rPr>
          <w:rFonts w:ascii="Tahoma" w:cs="Tahoma" w:eastAsia="Tahoma" w:hAnsi="Tahoma"/>
          <w:i w:val="1"/>
          <w:color w:val="767171"/>
          <w:sz w:val="18"/>
          <w:szCs w:val="18"/>
          <w:rtl w:val="0"/>
        </w:rPr>
        <w:t xml:space="preserve">3.- El plazo de ejecución propuesto se entenderá ofertado como </w:t>
      </w:r>
      <w:r w:rsidDel="00000000" w:rsidR="00000000" w:rsidRPr="00000000">
        <w:rPr>
          <w:rFonts w:ascii="Tahoma" w:cs="Tahoma" w:eastAsia="Tahoma" w:hAnsi="Tahoma"/>
          <w:i w:val="1"/>
          <w:color w:val="767171"/>
          <w:sz w:val="18"/>
          <w:szCs w:val="18"/>
          <w:u w:val="single"/>
          <w:rtl w:val="0"/>
        </w:rPr>
        <w:t xml:space="preserve">meses</w:t>
      </w:r>
      <w:r w:rsidDel="00000000" w:rsidR="00000000" w:rsidRPr="00000000">
        <w:rPr>
          <w:rFonts w:ascii="Tahoma" w:cs="Tahoma" w:eastAsia="Tahoma" w:hAnsi="Tahoma"/>
          <w:i w:val="1"/>
          <w:color w:val="767171"/>
          <w:sz w:val="18"/>
          <w:szCs w:val="18"/>
          <w:rtl w:val="0"/>
        </w:rPr>
        <w:t xml:space="preserve">. Por lo tanto, a la vista del plazo total de ejecución ofrecido, la reducción de plazo que resulte se considerará que se efectúa por </w:t>
      </w:r>
      <w:r w:rsidDel="00000000" w:rsidR="00000000" w:rsidRPr="00000000">
        <w:rPr>
          <w:rFonts w:ascii="Tahoma" w:cs="Tahoma" w:eastAsia="Tahoma" w:hAnsi="Tahoma"/>
          <w:b w:val="1"/>
          <w:i w:val="1"/>
          <w:color w:val="767171"/>
          <w:sz w:val="18"/>
          <w:szCs w:val="18"/>
          <w:rtl w:val="0"/>
        </w:rPr>
        <w:t xml:space="preserve">mes entero o medio mes (0,5)</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b w:val="1"/>
          <w:i w:val="1"/>
          <w:color w:val="767171"/>
          <w:sz w:val="18"/>
          <w:szCs w:val="18"/>
          <w:rtl w:val="0"/>
        </w:rPr>
        <w:t xml:space="preserve">respecto del plazo máximo de ejecución</w:t>
      </w:r>
      <w:r w:rsidDel="00000000" w:rsidR="00000000" w:rsidRPr="00000000">
        <w:rPr>
          <w:rFonts w:ascii="Tahoma" w:cs="Tahoma" w:eastAsia="Tahoma" w:hAnsi="Tahoma"/>
          <w:i w:val="1"/>
          <w:color w:val="767171"/>
          <w:sz w:val="18"/>
          <w:szCs w:val="18"/>
          <w:rtl w:val="0"/>
        </w:rPr>
        <w:t xml:space="preserve"> indicado en la letra E) del Cuadro-Resumen de Características y determinado en el Proyecto Constructivo. Concretamente, se considerará únicamente la reducción del plazo respecto al plazo total de ejecución.</w:t>
      </w:r>
      <w:r w:rsidDel="00000000" w:rsidR="00000000" w:rsidRPr="00000000">
        <w:rPr>
          <w:rtl w:val="0"/>
        </w:rPr>
      </w:r>
    </w:p>
    <w:p w:rsidR="00000000" w:rsidDel="00000000" w:rsidP="00000000" w:rsidRDefault="00000000" w:rsidRPr="00000000" w14:paraId="0000015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u w:val="single"/>
          <w:rtl w:val="0"/>
        </w:rPr>
        <w:t xml:space="preserve">El máximo de meses que se podrá reducir el plazo máximo indicado es de DOS (2) meses.</w:t>
      </w:r>
      <w:r w:rsidDel="00000000" w:rsidR="00000000" w:rsidRPr="00000000">
        <w:rPr>
          <w:rFonts w:ascii="Tahoma" w:cs="Tahoma" w:eastAsia="Tahoma" w:hAnsi="Tahoma"/>
          <w:i w:val="1"/>
          <w:color w:val="767171"/>
          <w:sz w:val="18"/>
          <w:szCs w:val="18"/>
          <w:rtl w:val="0"/>
        </w:rPr>
        <w:t xml:space="preserve"> En caso de ofertar una reducción superior a DOS (2) meses. se entenderá, a efectos de valoración de la oferta, que lo es para el máximo, esto es, los DOS (2) meses.</w:t>
      </w:r>
    </w:p>
    <w:p w:rsidR="00000000" w:rsidDel="00000000" w:rsidP="00000000" w:rsidRDefault="00000000" w:rsidRPr="00000000" w14:paraId="00000156">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57">
      <w:pPr>
        <w:keepNext w:val="1"/>
        <w:keepLines w:val="1"/>
        <w:pBdr>
          <w:top w:space="0" w:sz="0" w:val="nil"/>
          <w:left w:space="0" w:sz="0" w:val="nil"/>
          <w:bottom w:space="0" w:sz="0" w:val="nil"/>
          <w:right w:space="0" w:sz="0" w:val="nil"/>
          <w:between w:space="0" w:sz="0" w:val="nil"/>
        </w:pBdr>
        <w:spacing w:after="120" w:line="276" w:lineRule="auto"/>
        <w:ind w:right="-409"/>
        <w:jc w:val="center"/>
        <w:rPr>
          <w:rFonts w:ascii="Tahoma" w:cs="Tahoma" w:eastAsia="Tahoma" w:hAnsi="Tahoma"/>
          <w:b w:val="1"/>
          <w:color w:val="000000"/>
          <w:sz w:val="20"/>
          <w:szCs w:val="20"/>
        </w:rPr>
      </w:pPr>
      <w:bookmarkStart w:colFirst="0" w:colLast="0" w:name="_heading=h.ydxvinr31352" w:id="5"/>
      <w:bookmarkEnd w:id="5"/>
      <w:r w:rsidDel="00000000" w:rsidR="00000000" w:rsidRPr="00000000">
        <w:rPr>
          <w:rtl w:val="0"/>
        </w:rPr>
      </w:r>
    </w:p>
    <w:p w:rsidR="00000000" w:rsidDel="00000000" w:rsidP="00000000" w:rsidRDefault="00000000" w:rsidRPr="00000000" w14:paraId="00000158">
      <w:pPr>
        <w:keepNext w:val="1"/>
        <w:keepLines w:val="1"/>
        <w:pBdr>
          <w:top w:space="0" w:sz="0" w:val="nil"/>
          <w:left w:space="0" w:sz="0" w:val="nil"/>
          <w:bottom w:space="0" w:sz="0" w:val="nil"/>
          <w:right w:space="0" w:sz="0" w:val="nil"/>
          <w:between w:space="0" w:sz="0" w:val="nil"/>
        </w:pBdr>
        <w:spacing w:after="120" w:line="276" w:lineRule="auto"/>
        <w:ind w:right="-409"/>
        <w:jc w:val="center"/>
        <w:rPr>
          <w:color w:val="1f3763"/>
          <w:sz w:val="20"/>
          <w:szCs w:val="20"/>
        </w:rPr>
      </w:pPr>
      <w:bookmarkStart w:colFirst="0" w:colLast="0" w:name="_heading=h.j1redubpx9vy" w:id="6"/>
      <w:bookmarkEnd w:id="6"/>
      <w:r w:rsidDel="00000000" w:rsidR="00000000" w:rsidRPr="00000000">
        <w:br w:type="page"/>
      </w:r>
      <w:r w:rsidDel="00000000" w:rsidR="00000000" w:rsidRPr="00000000">
        <w:rPr>
          <w:rtl w:val="0"/>
        </w:rPr>
      </w:r>
    </w:p>
    <w:p w:rsidR="00000000" w:rsidDel="00000000" w:rsidP="00000000" w:rsidRDefault="00000000" w:rsidRPr="00000000" w14:paraId="00000159">
      <w:pPr>
        <w:pStyle w:val="Heading1"/>
        <w:ind w:right="-6"/>
        <w:jc w:val="center"/>
        <w:rPr/>
      </w:pPr>
      <w:bookmarkStart w:colFirst="0" w:colLast="0" w:name="_heading=h.bh5yuy967gx4" w:id="7"/>
      <w:bookmarkEnd w:id="7"/>
      <w:r w:rsidDel="00000000" w:rsidR="00000000" w:rsidRPr="00000000">
        <w:rPr>
          <w:rtl w:val="0"/>
        </w:rPr>
        <w:t xml:space="preserve">ANEXO Nº 10</w:t>
      </w:r>
    </w:p>
    <w:p w:rsidR="00000000" w:rsidDel="00000000" w:rsidP="00000000" w:rsidRDefault="00000000" w:rsidRPr="00000000" w14:paraId="0000015A">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5B">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w:t>
      </w:r>
    </w:p>
    <w:p w:rsidR="00000000" w:rsidDel="00000000" w:rsidP="00000000" w:rsidRDefault="00000000" w:rsidRPr="00000000" w14:paraId="0000015C">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5D">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5E">
      <w:pPr>
        <w:spacing w:after="120" w:line="276" w:lineRule="auto"/>
        <w:ind w:left="-142" w:right="-409"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5F">
      <w:pPr>
        <w:keepNext w:val="1"/>
        <w:keepLines w:val="1"/>
        <w:numPr>
          <w:ilvl w:val="0"/>
          <w:numId w:val="5"/>
        </w:numPr>
        <w:pBdr>
          <w:top w:space="0" w:sz="0" w:val="nil"/>
          <w:left w:space="0" w:sz="0" w:val="nil"/>
          <w:bottom w:space="0" w:sz="0" w:val="nil"/>
          <w:right w:space="0" w:sz="0" w:val="nil"/>
          <w:between w:space="0" w:sz="0" w:val="nil"/>
        </w:pBdr>
        <w:spacing w:after="120" w:line="276" w:lineRule="auto"/>
        <w:ind w:left="720" w:right="-409" w:hanging="360"/>
        <w:jc w:val="both"/>
        <w:rPr>
          <w:rFonts w:ascii="Tahoma" w:cs="Tahoma" w:eastAsia="Tahoma" w:hAnsi="Tahoma"/>
          <w:color w:val="000000"/>
          <w:sz w:val="20"/>
          <w:szCs w:val="20"/>
        </w:rPr>
      </w:pPr>
      <w:bookmarkStart w:colFirst="0" w:colLast="0" w:name="_heading=h.17dp8vu" w:id="8"/>
      <w:bookmarkEnd w:id="8"/>
      <w:r w:rsidDel="00000000" w:rsidR="00000000" w:rsidRPr="00000000">
        <w:rPr>
          <w:rFonts w:ascii="Tahoma" w:cs="Tahoma" w:eastAsia="Tahoma" w:hAnsi="Tahoma"/>
          <w:color w:val="000000"/>
          <w:sz w:val="20"/>
          <w:szCs w:val="20"/>
          <w:rtl w:val="0"/>
        </w:rPr>
        <w:t xml:space="preserve">Garantía contra cualquier defecto de la obra e instalación por un período: </w:t>
      </w:r>
      <w:r w:rsidDel="00000000" w:rsidR="00000000" w:rsidRPr="00000000">
        <w:rPr>
          <w:rFonts w:ascii="Tahoma" w:cs="Tahoma" w:eastAsia="Tahoma" w:hAnsi="Tahoma"/>
          <w:b w:val="1"/>
          <w:color w:val="000000"/>
          <w:sz w:val="20"/>
          <w:szCs w:val="20"/>
          <w:rtl w:val="0"/>
        </w:rPr>
        <w:t xml:space="preserve">[·] AÑO/S, </w:t>
      </w:r>
      <w:r w:rsidDel="00000000" w:rsidR="00000000" w:rsidRPr="00000000">
        <w:rPr>
          <w:rFonts w:ascii="Tahoma" w:cs="Tahoma" w:eastAsia="Tahoma" w:hAnsi="Tahoma"/>
          <w:color w:val="000000"/>
          <w:sz w:val="20"/>
          <w:szCs w:val="20"/>
          <w:rtl w:val="0"/>
        </w:rPr>
        <w:t xml:space="preserve">a contar desde el momento de la recepción provisional de las obras.</w:t>
      </w:r>
    </w:p>
    <w:p w:rsidR="00000000" w:rsidDel="00000000" w:rsidP="00000000" w:rsidRDefault="00000000" w:rsidRPr="00000000" w14:paraId="00000160">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61">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2">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3">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64">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6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al plazo indicado en la letra L) del Cuadro-resumen de Características y determinado en el Proyecto Constructivo.</w:t>
      </w:r>
    </w:p>
    <w:p w:rsidR="00000000" w:rsidDel="00000000" w:rsidP="00000000" w:rsidRDefault="00000000" w:rsidRPr="00000000" w14:paraId="00000166">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7">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w:t>
      </w:r>
      <w:r w:rsidDel="00000000" w:rsidR="00000000" w:rsidRPr="00000000">
        <w:rPr>
          <w:rFonts w:ascii="Tahoma" w:cs="Tahoma" w:eastAsia="Tahoma" w:hAnsi="Tahoma"/>
          <w:i w:val="1"/>
          <w:color w:val="767171"/>
          <w:sz w:val="18"/>
          <w:szCs w:val="18"/>
          <w:u w:val="single"/>
          <w:rtl w:val="0"/>
        </w:rPr>
        <w:t xml:space="preserve">El máximo de años que se podrá ofrecer el plazo de garantía es de CINCO (5) años.</w:t>
      </w:r>
      <w:r w:rsidDel="00000000" w:rsidR="00000000" w:rsidRPr="00000000">
        <w:rPr>
          <w:rFonts w:ascii="Tahoma" w:cs="Tahoma" w:eastAsia="Tahoma" w:hAnsi="Tahoma"/>
          <w:i w:val="1"/>
          <w:color w:val="767171"/>
          <w:sz w:val="18"/>
          <w:szCs w:val="18"/>
          <w:rtl w:val="0"/>
        </w:rPr>
        <w:t xml:space="preserve"> En caso, de ofrecer un plazo de garantía superior a CINCO (5) años, se entenderá, a efectos de valoración de la oferta, que lo es para el máximo, es decir, los CINCO (5) años.</w:t>
      </w:r>
    </w:p>
    <w:p w:rsidR="00000000" w:rsidDel="00000000" w:rsidP="00000000" w:rsidRDefault="00000000" w:rsidRPr="00000000" w14:paraId="00000168">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69">
      <w:pPr>
        <w:keepNext w:val="1"/>
        <w:keepLines w:val="1"/>
        <w:pBdr>
          <w:top w:space="0" w:sz="0" w:val="nil"/>
          <w:left w:space="0" w:sz="0" w:val="nil"/>
          <w:bottom w:space="0" w:sz="0" w:val="nil"/>
          <w:right w:space="0" w:sz="0" w:val="nil"/>
          <w:between w:space="0" w:sz="0" w:val="nil"/>
        </w:pBdr>
        <w:spacing w:after="120" w:line="276" w:lineRule="auto"/>
        <w:ind w:right="-409"/>
        <w:jc w:val="center"/>
        <w:rPr>
          <w:rFonts w:ascii="Tahoma" w:cs="Tahoma" w:eastAsia="Tahoma" w:hAnsi="Tahoma"/>
          <w:b w:val="1"/>
          <w:color w:val="000000"/>
          <w:sz w:val="20"/>
          <w:szCs w:val="20"/>
        </w:rPr>
      </w:pPr>
      <w:bookmarkStart w:colFirst="0" w:colLast="0" w:name="_heading=h.donsdbx7d29s" w:id="9"/>
      <w:bookmarkEnd w:id="9"/>
      <w:r w:rsidDel="00000000" w:rsidR="00000000" w:rsidRPr="00000000">
        <w:rPr>
          <w:rtl w:val="0"/>
        </w:rPr>
      </w:r>
    </w:p>
    <w:p w:rsidR="00000000" w:rsidDel="00000000" w:rsidP="00000000" w:rsidRDefault="00000000" w:rsidRPr="00000000" w14:paraId="0000016A">
      <w:pPr>
        <w:keepNext w:val="1"/>
        <w:keepLines w:val="1"/>
        <w:pBdr>
          <w:top w:space="0" w:sz="0" w:val="nil"/>
          <w:left w:space="0" w:sz="0" w:val="nil"/>
          <w:bottom w:space="0" w:sz="0" w:val="nil"/>
          <w:right w:space="0" w:sz="0" w:val="nil"/>
          <w:between w:space="0" w:sz="0" w:val="nil"/>
        </w:pBdr>
        <w:spacing w:after="120" w:line="276" w:lineRule="auto"/>
        <w:ind w:right="-409"/>
        <w:jc w:val="center"/>
        <w:rPr>
          <w:rFonts w:ascii="Tahoma" w:cs="Tahoma" w:eastAsia="Tahoma" w:hAnsi="Tahoma"/>
          <w:color w:val="000000"/>
          <w:sz w:val="20"/>
          <w:szCs w:val="20"/>
        </w:rPr>
      </w:pPr>
      <w:bookmarkStart w:colFirst="0" w:colLast="0" w:name="_heading=h.xox6d1lkx70k" w:id="10"/>
      <w:bookmarkEnd w:id="10"/>
      <w:r w:rsidDel="00000000" w:rsidR="00000000" w:rsidRPr="00000000">
        <w:br w:type="page"/>
      </w:r>
      <w:r w:rsidDel="00000000" w:rsidR="00000000" w:rsidRPr="00000000">
        <w:rPr>
          <w:rtl w:val="0"/>
        </w:rPr>
      </w:r>
    </w:p>
    <w:p w:rsidR="00000000" w:rsidDel="00000000" w:rsidP="00000000" w:rsidRDefault="00000000" w:rsidRPr="00000000" w14:paraId="0000016B">
      <w:pPr>
        <w:pStyle w:val="Heading1"/>
        <w:ind w:right="-6"/>
        <w:jc w:val="center"/>
        <w:rPr/>
      </w:pPr>
      <w:bookmarkStart w:colFirst="0" w:colLast="0" w:name="_heading=h.pjp3qclbaplj" w:id="11"/>
      <w:bookmarkEnd w:id="11"/>
      <w:r w:rsidDel="00000000" w:rsidR="00000000" w:rsidRPr="00000000">
        <w:rPr>
          <w:rtl w:val="0"/>
        </w:rPr>
        <w:t xml:space="preserve">ANEXO Nº 11</w:t>
      </w:r>
    </w:p>
    <w:p w:rsidR="00000000" w:rsidDel="00000000" w:rsidP="00000000" w:rsidRDefault="00000000" w:rsidRPr="00000000" w14:paraId="0000016C">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w:t>
      </w:r>
    </w:p>
    <w:p w:rsidR="00000000" w:rsidDel="00000000" w:rsidP="00000000" w:rsidRDefault="00000000" w:rsidRPr="00000000" w14:paraId="0000016D">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6E">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6F">
      <w:pPr>
        <w:spacing w:after="120" w:line="276" w:lineRule="auto"/>
        <w:ind w:left="-135" w:right="-409"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rtl w:val="0"/>
        </w:rPr>
        <w:t xml:space="preserve"> son los siguientes:</w:t>
      </w:r>
      <w:r w:rsidDel="00000000" w:rsidR="00000000" w:rsidRPr="00000000">
        <w:rPr>
          <w:rtl w:val="0"/>
        </w:rPr>
      </w:r>
    </w:p>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0">
            <w:pPr>
              <w:widowControl w:val="0"/>
              <w:spacing w:after="0" w:line="240" w:lineRule="auto"/>
              <w:ind w:right="41"/>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71">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72">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3">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4">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(Obligatorio) “Procedimiento y organización para la ejecución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6">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(Obligatorio) “Descripción detallada de la ejecución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8">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(Obligatorio) “Plan de control y calidad”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9">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A">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B.4) (Mejora Opcional) “Medidas sociales y medioambientales”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7C">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E">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(Obligatorio)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0">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(Mejora Opcional)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2">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(Mejora Opcional)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bl>
    <w:p w:rsidR="00000000" w:rsidDel="00000000" w:rsidP="00000000" w:rsidRDefault="00000000" w:rsidRPr="00000000" w14:paraId="00000184">
      <w:pPr>
        <w:spacing w:after="120" w:before="240" w:line="276" w:lineRule="auto"/>
        <w:ind w:left="-141" w:right="-409"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45 puntos, desglosados de la siguiente manera:</w:t>
      </w:r>
    </w:p>
    <w:p w:rsidR="00000000" w:rsidDel="00000000" w:rsidP="00000000" w:rsidRDefault="00000000" w:rsidRPr="00000000" w14:paraId="00000185">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 (Obligatorio) “Procedimiento y organización para la ejecución de los trabajos”: hasta 17 puntos.</w:t>
      </w:r>
    </w:p>
    <w:p w:rsidR="00000000" w:rsidDel="00000000" w:rsidP="00000000" w:rsidRDefault="00000000" w:rsidRPr="00000000" w14:paraId="0000018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B.1) de la cláusula 11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Proyecto Constructivo.</w:t>
      </w:r>
    </w:p>
    <w:p w:rsidR="00000000" w:rsidDel="00000000" w:rsidP="00000000" w:rsidRDefault="00000000" w:rsidRPr="00000000" w14:paraId="0000018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18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9">
      <w:pPr>
        <w:spacing w:after="24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Constructivoy el resto de documentación contractual.</w:t>
      </w:r>
    </w:p>
    <w:p w:rsidR="00000000" w:rsidDel="00000000" w:rsidP="00000000" w:rsidRDefault="00000000" w:rsidRPr="00000000" w14:paraId="0000018A">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(Obligatorio) “Descripción detallada de la ejecución de los trabajos”: hasta 15 puntos.</w:t>
      </w:r>
    </w:p>
    <w:p w:rsidR="00000000" w:rsidDel="00000000" w:rsidP="00000000" w:rsidRDefault="00000000" w:rsidRPr="00000000" w14:paraId="0000018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y mejoras técnicas a realizar, el contenido del cual tiene que cumplir con el que se indica en el apartado B.2) de la cláusula 11 del presente Pliego, se puntuará en comparación entre todas las ofertas recibidas, valorando entre otros aspectos, la exhaustividad y particularización, así como aquellas propuestas, soluciones que aporten valor, minimicen el impacto, optimicen la ejecución de las obras, o faciliten el montaje en los puntos más complicados. Análisis sobre problemas que se puedan generar en el transcurso de las obras y propuesta de solución, así como posibles interferencias con la normal operación de la instalación y requisitos ambientales.</w:t>
      </w:r>
    </w:p>
    <w:p w:rsidR="00000000" w:rsidDel="00000000" w:rsidP="00000000" w:rsidRDefault="00000000" w:rsidRPr="00000000" w14:paraId="0000018C">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8D">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E">
      <w:pPr>
        <w:spacing w:after="24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 y el resto de documentación contractual.</w:t>
      </w:r>
    </w:p>
    <w:p w:rsidR="00000000" w:rsidDel="00000000" w:rsidP="00000000" w:rsidRDefault="00000000" w:rsidRPr="00000000" w14:paraId="0000018F">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(Obligatorio) “Plan de control y calidad”: hasta 8 puntos.</w:t>
      </w:r>
    </w:p>
    <w:p w:rsidR="00000000" w:rsidDel="00000000" w:rsidP="00000000" w:rsidRDefault="00000000" w:rsidRPr="00000000" w14:paraId="00000190">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B.3) de la cláusula 11 del presente Pliego, se puntuará en comparación entre todas las ofertas recibidas, valorando entre otros aspectos, el grado de idoneidad de la propuesta, exhaustividad y particularización de acuerdo con las actuaciones a llevar a cabo, incluyendo los requisitos ambientales.</w:t>
      </w:r>
    </w:p>
    <w:p w:rsidR="00000000" w:rsidDel="00000000" w:rsidP="00000000" w:rsidRDefault="00000000" w:rsidRPr="00000000" w14:paraId="00000191">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92">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93">
      <w:pPr>
        <w:spacing w:after="24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 y el resto de documentación contractual.</w:t>
      </w:r>
    </w:p>
    <w:p w:rsidR="00000000" w:rsidDel="00000000" w:rsidP="00000000" w:rsidRDefault="00000000" w:rsidRPr="00000000" w14:paraId="00000194">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(Mejora Opcional) “Medidas sociales y medioambientales”: hasta 5 puntos.</w:t>
      </w:r>
    </w:p>
    <w:p w:rsidR="00000000" w:rsidDel="00000000" w:rsidP="00000000" w:rsidRDefault="00000000" w:rsidRPr="00000000" w14:paraId="00000195">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medidas ambientales y sociales que se efectúe, el contenido del cual tiene que cumplir con el que se indica en el apartado B.4) de la cláusula 11 del presente Pliego, se puntuará en comparación entre todas las ofertas recibidas, valorando entre otros aspectos, el grado de idoneidad de la propuesta de manera que las medidas que se llevarán a cabo para su implementación sean completas y concretas en el ámbito de la obra a ejecutar y representen una mejora social y ambiental respecto a los requisitos indicados en el proyecto, de la prestación a contratar.</w:t>
      </w:r>
    </w:p>
    <w:p w:rsidR="00000000" w:rsidDel="00000000" w:rsidP="00000000" w:rsidRDefault="00000000" w:rsidRPr="00000000" w14:paraId="0000019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la obra. El resto de las ofertas de los operadores económicos se puntuarán proporcionalmente respecto de la que haya obtenido la máxima puntuación.</w:t>
      </w:r>
    </w:p>
    <w:p w:rsidR="00000000" w:rsidDel="00000000" w:rsidP="00000000" w:rsidRDefault="00000000" w:rsidRPr="00000000" w14:paraId="0000019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98">
      <w:pPr>
        <w:spacing w:after="24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 y el resto de documentación contractual.</w:t>
      </w:r>
      <w:r w:rsidDel="00000000" w:rsidR="00000000" w:rsidRPr="00000000">
        <w:rPr>
          <w:rtl w:val="0"/>
        </w:rPr>
      </w:r>
    </w:p>
    <w:p w:rsidR="00000000" w:rsidDel="00000000" w:rsidP="00000000" w:rsidRDefault="00000000" w:rsidRPr="00000000" w14:paraId="00000199">
      <w:pPr>
        <w:spacing w:after="120" w:before="240" w:line="276" w:lineRule="auto"/>
        <w:ind w:left="-141" w:right="-409" w:firstLine="0"/>
        <w:jc w:val="both"/>
        <w:rPr>
          <w:rFonts w:ascii="Tahoma" w:cs="Tahoma" w:eastAsia="Tahoma" w:hAnsi="Tahoma"/>
          <w:b w:val="1"/>
          <w:color w:val="000000"/>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55 puntos, desglosados de la siguiente manera:</w:t>
      </w:r>
      <w:r w:rsidDel="00000000" w:rsidR="00000000" w:rsidRPr="00000000">
        <w:rPr>
          <w:rtl w:val="0"/>
        </w:rPr>
      </w:r>
    </w:p>
    <w:p w:rsidR="00000000" w:rsidDel="00000000" w:rsidP="00000000" w:rsidRDefault="00000000" w:rsidRPr="00000000" w14:paraId="0000019A">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(Obligatorio) Proposición Económica: hasta 45 puntos.</w:t>
      </w:r>
    </w:p>
    <w:p w:rsidR="00000000" w:rsidDel="00000000" w:rsidP="00000000" w:rsidRDefault="00000000" w:rsidRPr="00000000" w14:paraId="0000019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19C">
      <w:pPr>
        <w:spacing w:after="120" w:line="276" w:lineRule="auto"/>
        <w:ind w:left="-141" w:right="-409" w:firstLine="0"/>
        <w:jc w:val="center"/>
        <w:rPr>
          <w:rFonts w:ascii="Tahoma" w:cs="Tahoma" w:eastAsia="Tahoma" w:hAnsi="Tahoma"/>
          <w:sz w:val="20"/>
          <w:szCs w:val="20"/>
        </w:rPr>
      </w:pPr>
      <m:oMath>
        <m:r>
          <w:rPr>
            <w:rFonts w:ascii="Tahoma" w:cs="Tahoma" w:eastAsia="Tahoma" w:hAnsi="Tahoma"/>
            <w:sz w:val="20"/>
            <w:szCs w:val="20"/>
          </w:rPr>
          <m:t xml:space="preserve">Puntuación económica=</m:t>
        </m:r>
        <m:r>
          <w:rPr>
            <w:rFonts w:ascii="Cambria Math" w:cs="Cambria Math" w:eastAsia="Cambria Math" w:hAnsi="Cambria Math"/>
            <w:sz w:val="20"/>
            <w:szCs w:val="20"/>
          </w:rPr>
          <m:t xml:space="preserve">45</m:t>
        </m:r>
        <m:r>
          <w:rPr>
            <w:rFonts w:ascii="Tahoma" w:cs="Tahoma" w:eastAsia="Tahoma" w:hAnsi="Tahoma"/>
            <w:sz w:val="20"/>
            <w:szCs w:val="20"/>
          </w:rPr>
          <m:t xml:space="preserve"> x </m:t>
        </m:r>
        <m:f>
          <m:fPr>
            <m:ctrlPr>
              <w:rPr>
                <w:rFonts w:ascii="Tahoma" w:cs="Tahoma" w:eastAsia="Tahoma" w:hAnsi="Tahoma"/>
                <w:sz w:val="20"/>
                <w:szCs w:val="20"/>
              </w:rPr>
            </m:ctrlPr>
          </m:fPr>
          <m:num>
            <m:r>
              <w:rPr>
                <w:rFonts w:ascii="Tahoma" w:cs="Tahoma" w:eastAsia="Tahoma" w:hAnsi="Tahoma"/>
                <w:sz w:val="20"/>
                <w:szCs w:val="20"/>
              </w:rPr>
              <m:t xml:space="preserve"> 100 - </m:t>
            </m:r>
            <m:sSub>
              <m:sSubPr>
                <m:ctrlPr>
                  <w:rPr>
                    <w:rFonts w:ascii="Tahoma" w:cs="Tahoma" w:eastAsia="Tahoma" w:hAnsi="Tahoma"/>
                    <w:sz w:val="20"/>
                    <w:szCs w:val="20"/>
                  </w:rPr>
                </m:ctrlPr>
              </m:sSubPr>
              <m:e>
                <m:r>
                  <w:rPr>
                    <w:rFonts w:ascii="Tahoma" w:cs="Tahoma" w:eastAsia="Tahoma" w:hAnsi="Tahoma"/>
                    <w:sz w:val="20"/>
                    <w:szCs w:val="20"/>
                  </w:rPr>
                  <m:t xml:space="preserve">B</m:t>
                </m:r>
              </m:e>
              <m:sub>
                <m:r>
                  <w:rPr>
                    <w:rFonts w:ascii="Tahoma" w:cs="Tahoma" w:eastAsia="Tahoma" w:hAnsi="Tahoma"/>
                    <w:sz w:val="20"/>
                    <w:szCs w:val="20"/>
                  </w:rPr>
                  <m:t xml:space="preserve">máx</m:t>
                </m:r>
              </m:sub>
            </m:sSub>
          </m:num>
          <m:den>
            <m:sSub>
              <m:sSubPr>
                <m:ctrlPr>
                  <w:rPr>
                    <w:rFonts w:ascii="Tahoma" w:cs="Tahoma" w:eastAsia="Tahoma" w:hAnsi="Tahoma"/>
                    <w:sz w:val="20"/>
                    <w:szCs w:val="20"/>
                  </w:rPr>
                </m:ctrlPr>
              </m:sSubPr>
              <m:e>
                <m:r>
                  <w:rPr>
                    <w:rFonts w:ascii="Tahoma" w:cs="Tahoma" w:eastAsia="Tahoma" w:hAnsi="Tahoma"/>
                    <w:sz w:val="20"/>
                    <w:szCs w:val="20"/>
                  </w:rPr>
                  <m:t xml:space="preserve">100 - B</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19D">
      <w:pPr>
        <w:spacing w:after="120" w:line="276" w:lineRule="auto"/>
        <w:ind w:left="-141" w:right="-409"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E">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9F">
      <w:pPr>
        <w:numPr>
          <w:ilvl w:val="0"/>
          <w:numId w:val="4"/>
        </w:numPr>
        <w:spacing w:after="120" w:line="276" w:lineRule="auto"/>
        <w:ind w:left="566" w:right="-409"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A0">
      <w:pPr>
        <w:numPr>
          <w:ilvl w:val="0"/>
          <w:numId w:val="4"/>
        </w:numPr>
        <w:spacing w:after="120" w:line="276" w:lineRule="auto"/>
        <w:ind w:left="566" w:right="-409"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w:t>
      </w:r>
    </w:p>
    <w:p w:rsidR="00000000" w:rsidDel="00000000" w:rsidP="00000000" w:rsidRDefault="00000000" w:rsidRPr="00000000" w14:paraId="000001A1">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2">
      <w:pPr>
        <w:numPr>
          <w:ilvl w:val="0"/>
          <w:numId w:val="3"/>
        </w:numPr>
        <w:spacing w:after="120" w:line="276" w:lineRule="auto"/>
        <w:ind w:left="283" w:right="-409"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A3">
      <w:pPr>
        <w:numPr>
          <w:ilvl w:val="1"/>
          <w:numId w:val="7"/>
        </w:numPr>
        <w:spacing w:after="120" w:line="276" w:lineRule="auto"/>
        <w:ind w:left="85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sólo concurre un único licitador, sea inferior presupuesto máximo de licitación en más de 20,00 %.</w:t>
      </w:r>
    </w:p>
    <w:p w:rsidR="00000000" w:rsidDel="00000000" w:rsidP="00000000" w:rsidRDefault="00000000" w:rsidRPr="00000000" w14:paraId="000001A4">
      <w:pPr>
        <w:numPr>
          <w:ilvl w:val="1"/>
          <w:numId w:val="7"/>
        </w:numPr>
        <w:spacing w:after="120" w:line="276" w:lineRule="auto"/>
        <w:ind w:left="85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dos licitadores, sea inferior en más de 15,00 % a la otra oferta admitida.</w:t>
      </w:r>
    </w:p>
    <w:p w:rsidR="00000000" w:rsidDel="00000000" w:rsidP="00000000" w:rsidRDefault="00000000" w:rsidRPr="00000000" w14:paraId="000001A5">
      <w:pPr>
        <w:numPr>
          <w:ilvl w:val="1"/>
          <w:numId w:val="7"/>
        </w:numPr>
        <w:spacing w:after="120" w:line="276" w:lineRule="auto"/>
        <w:ind w:left="85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A6">
      <w:pPr>
        <w:numPr>
          <w:ilvl w:val="0"/>
          <w:numId w:val="7"/>
        </w:numPr>
        <w:spacing w:after="240" w:line="276" w:lineRule="auto"/>
        <w:ind w:left="283" w:right="-409"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A7">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(Mejora Opcional) Plazo máximo de ejecución: hasta 5 puntos.</w:t>
      </w:r>
    </w:p>
    <w:p w:rsidR="00000000" w:rsidDel="00000000" w:rsidP="00000000" w:rsidRDefault="00000000" w:rsidRPr="00000000" w14:paraId="000001A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máximo de ejecución será valorado de acuerdo con la siguiente fórmula:</w:t>
      </w:r>
    </w:p>
    <w:p w:rsidR="00000000" w:rsidDel="00000000" w:rsidP="00000000" w:rsidRDefault="00000000" w:rsidRPr="00000000" w14:paraId="000001A9">
      <w:pPr>
        <w:jc w:val="center"/>
        <w:rPr>
          <w:rFonts w:ascii="Tahoma" w:cs="Tahoma" w:eastAsia="Tahoma" w:hAnsi="Tahoma"/>
          <w:color w:val="000000"/>
          <w:sz w:val="20"/>
          <w:szCs w:val="20"/>
        </w:rPr>
      </w:pPr>
      <w:bookmarkStart w:colFirst="0" w:colLast="0" w:name="_heading=h.yok6fl36nulq" w:id="12"/>
      <w:bookmarkEnd w:id="12"/>
      <m:oMath>
        <m:r>
          <w:rPr>
            <w:rFonts w:ascii="Tahoma" w:cs="Tahoma" w:eastAsia="Tahoma" w:hAnsi="Tahoma"/>
            <w:color w:val="000000"/>
            <w:sz w:val="20"/>
            <w:szCs w:val="20"/>
          </w:rPr>
          <m:t xml:space="preserve">Puntuación=</m:t>
        </m:r>
        <m:r>
          <w:rPr>
            <w:rFonts w:ascii="Cambria Math" w:cs="Cambria Math" w:eastAsia="Cambria Math" w:hAnsi="Cambria Math"/>
            <w:color w:val="000000"/>
            <w:sz w:val="20"/>
            <w:szCs w:val="20"/>
          </w:rPr>
          <m:t xml:space="preserve">5</m:t>
        </m:r>
        <m:r>
          <w:rPr>
            <w:rFonts w:ascii="Tahoma" w:cs="Tahoma" w:eastAsia="Tahoma" w:hAnsi="Tahoma"/>
            <w:color w:val="000000"/>
            <w:sz w:val="20"/>
            <w:szCs w:val="20"/>
          </w:rPr>
          <m:t xml:space="preserve"> x </m:t>
        </m:r>
        <m:f>
          <m:fPr>
            <m:ctrlPr>
              <w:rPr>
                <w:rFonts w:ascii="Tahoma" w:cs="Tahoma" w:eastAsia="Tahoma" w:hAnsi="Tahoma"/>
                <w:color w:val="000000"/>
                <w:sz w:val="20"/>
                <w:szCs w:val="20"/>
              </w:rPr>
            </m:ctrlPr>
          </m:fPr>
          <m:num>
            <m:r>
              <w:rPr>
                <w:rFonts w:ascii="Tahoma" w:cs="Tahoma" w:eastAsia="Tahoma" w:hAnsi="Tahoma"/>
                <w:color w:val="000000"/>
                <w:sz w:val="20"/>
                <w:szCs w:val="20"/>
              </w:rPr>
              <m:t xml:space="preserve">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máx</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i</m:t>
                </m:r>
              </m:sub>
            </m:sSub>
            <m:r>
              <w:rPr>
                <w:rFonts w:ascii="Tahoma" w:cs="Tahoma" w:eastAsia="Tahoma" w:hAnsi="Tahoma"/>
                <w:color w:val="000000"/>
                <w:sz w:val="20"/>
                <w:szCs w:val="20"/>
              </w:rPr>
              <m:t xml:space="preserve"> </m:t>
            </m:r>
          </m:num>
          <m:den>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máx</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m:t>
                </m:r>
              </m:e>
              <m:sub>
                <m:r>
                  <w:rPr>
                    <w:rFonts w:ascii="Tahoma" w:cs="Tahoma" w:eastAsia="Tahoma" w:hAnsi="Tahoma"/>
                    <w:color w:val="000000"/>
                    <w:sz w:val="20"/>
                    <w:szCs w:val="20"/>
                  </w:rPr>
                  <m:t xml:space="preserve">min</m:t>
                </m:r>
              </m:sub>
            </m:sSub>
            <m:r>
              <w:rPr>
                <w:rFonts w:ascii="Tahoma" w:cs="Tahoma" w:eastAsia="Tahoma" w:hAnsi="Tahoma"/>
                <w:color w:val="000000"/>
                <w:sz w:val="20"/>
                <w:szCs w:val="20"/>
              </w:rPr>
              <m:t xml:space="preserve"> </m:t>
            </m:r>
          </m:den>
        </m:f>
      </m:oMath>
      <w:r w:rsidDel="00000000" w:rsidR="00000000" w:rsidRPr="00000000">
        <w:rPr>
          <w:rtl w:val="0"/>
        </w:rPr>
      </w:r>
    </w:p>
    <w:p w:rsidR="00000000" w:rsidDel="00000000" w:rsidP="00000000" w:rsidRDefault="00000000" w:rsidRPr="00000000" w14:paraId="000001AA">
      <w:pPr>
        <w:keepNext w:val="1"/>
        <w:keepLines w:val="1"/>
        <w:pBdr>
          <w:top w:space="0" w:sz="0" w:val="nil"/>
          <w:left w:space="0" w:sz="0" w:val="nil"/>
          <w:bottom w:space="0" w:sz="0" w:val="nil"/>
          <w:right w:space="0" w:sz="0" w:val="nil"/>
          <w:between w:space="0" w:sz="0" w:val="nil"/>
        </w:pBdr>
        <w:spacing w:after="120" w:line="276" w:lineRule="auto"/>
        <w:ind w:right="-409" w:hanging="141"/>
        <w:jc w:val="both"/>
        <w:rPr>
          <w:rFonts w:ascii="Tahoma" w:cs="Tahoma" w:eastAsia="Tahoma" w:hAnsi="Tahoma"/>
          <w:color w:val="000000"/>
          <w:sz w:val="20"/>
          <w:szCs w:val="20"/>
        </w:rPr>
      </w:pPr>
      <w:bookmarkStart w:colFirst="0" w:colLast="0" w:name="_heading=h.8bq6i0mqnzev" w:id="13"/>
      <w:bookmarkEnd w:id="13"/>
      <w:r w:rsidDel="00000000" w:rsidR="00000000" w:rsidRPr="00000000">
        <w:rPr>
          <w:rFonts w:ascii="Tahoma" w:cs="Tahoma" w:eastAsia="Tahoma" w:hAnsi="Tahoma"/>
          <w:color w:val="000000"/>
          <w:sz w:val="20"/>
          <w:szCs w:val="20"/>
          <w:rtl w:val="0"/>
        </w:rPr>
        <w:t xml:space="preserve">Dónde:</w:t>
      </w:r>
    </w:p>
    <w:p w:rsidR="00000000" w:rsidDel="00000000" w:rsidP="00000000" w:rsidRDefault="00000000" w:rsidRPr="00000000" w14:paraId="000001AB">
      <w:pPr>
        <w:keepNext w:val="1"/>
        <w:keepLines w:val="1"/>
        <w:numPr>
          <w:ilvl w:val="0"/>
          <w:numId w:val="11"/>
        </w:numPr>
        <w:pBdr>
          <w:top w:space="0" w:sz="0" w:val="nil"/>
          <w:left w:space="0" w:sz="0" w:val="nil"/>
          <w:bottom w:space="0" w:sz="0" w:val="nil"/>
          <w:right w:space="0" w:sz="0" w:val="nil"/>
          <w:between w:space="0" w:sz="0" w:val="nil"/>
        </w:pBdr>
        <w:spacing w:after="120" w:line="276" w:lineRule="auto"/>
        <w:ind w:left="566" w:right="-409" w:hanging="356"/>
        <w:jc w:val="both"/>
        <w:rPr>
          <w:rFonts w:ascii="Tahoma" w:cs="Tahoma" w:eastAsia="Tahoma" w:hAnsi="Tahoma"/>
          <w:color w:val="2f5496"/>
          <w:sz w:val="20"/>
          <w:szCs w:val="20"/>
        </w:rPr>
      </w:pPr>
      <w:bookmarkStart w:colFirst="0" w:colLast="0" w:name="_heading=h.g6nd00czbvn3" w:id="14"/>
      <w:bookmarkEnd w:id="14"/>
      <w:r w:rsidDel="00000000" w:rsidR="00000000" w:rsidRPr="00000000">
        <w:rPr>
          <w:rFonts w:ascii="Tahoma" w:cs="Tahoma" w:eastAsia="Tahoma" w:hAnsi="Tahoma"/>
          <w:color w:val="000000"/>
          <w:sz w:val="20"/>
          <w:szCs w:val="20"/>
          <w:rtl w:val="0"/>
        </w:rPr>
        <w:t xml:space="preserve">T</w:t>
      </w:r>
      <w:r w:rsidDel="00000000" w:rsidR="00000000" w:rsidRPr="00000000">
        <w:rPr>
          <w:rFonts w:ascii="Tahoma" w:cs="Tahoma" w:eastAsia="Tahoma" w:hAnsi="Tahoma"/>
          <w:color w:val="000000"/>
          <w:sz w:val="20"/>
          <w:szCs w:val="20"/>
          <w:vertAlign w:val="subscript"/>
          <w:rtl w:val="0"/>
        </w:rPr>
        <w:t xml:space="preserve">máx</w:t>
      </w:r>
      <w:r w:rsidDel="00000000" w:rsidR="00000000" w:rsidRPr="00000000">
        <w:rPr>
          <w:rFonts w:ascii="Tahoma" w:cs="Tahoma" w:eastAsia="Tahoma" w:hAnsi="Tahoma"/>
          <w:color w:val="000000"/>
          <w:sz w:val="20"/>
          <w:szCs w:val="20"/>
          <w:rtl w:val="0"/>
        </w:rPr>
        <w:t xml:space="preserve"> es el plazo máximo de ejecución indicado a la letra E) del Cuadro-resumen de Características y en el </w:t>
      </w:r>
      <w:r w:rsidDel="00000000" w:rsidR="00000000" w:rsidRPr="00000000">
        <w:rPr>
          <w:rFonts w:ascii="Tahoma" w:cs="Tahoma" w:eastAsia="Tahoma" w:hAnsi="Tahoma"/>
          <w:sz w:val="20"/>
          <w:szCs w:val="20"/>
          <w:rtl w:val="0"/>
        </w:rPr>
        <w:t xml:space="preserve">Proyecto Constructivo</w:t>
      </w:r>
      <w:r w:rsidDel="00000000" w:rsidR="00000000" w:rsidRPr="00000000">
        <w:rPr>
          <w:rFonts w:ascii="Tahoma" w:cs="Tahoma" w:eastAsia="Tahoma" w:hAnsi="Tahoma"/>
          <w:color w:val="000000"/>
          <w:sz w:val="20"/>
          <w:szCs w:val="20"/>
          <w:rtl w:val="0"/>
        </w:rPr>
        <w:t xml:space="preserve">, es de </w:t>
      </w:r>
      <w:r w:rsidDel="00000000" w:rsidR="00000000" w:rsidRPr="00000000">
        <w:rPr>
          <w:rFonts w:ascii="Tahoma" w:cs="Tahoma" w:eastAsia="Tahoma" w:hAnsi="Tahoma"/>
          <w:b w:val="1"/>
          <w:color w:val="000000"/>
          <w:sz w:val="20"/>
          <w:szCs w:val="20"/>
          <w:rtl w:val="0"/>
        </w:rPr>
        <w:t xml:space="preserve">VEINTE Y MEDIO (20,5) meses</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AC">
      <w:pPr>
        <w:keepNext w:val="1"/>
        <w:keepLines w:val="1"/>
        <w:numPr>
          <w:ilvl w:val="0"/>
          <w:numId w:val="11"/>
        </w:numPr>
        <w:pBdr>
          <w:top w:space="0" w:sz="0" w:val="nil"/>
          <w:left w:space="0" w:sz="0" w:val="nil"/>
          <w:bottom w:space="0" w:sz="0" w:val="nil"/>
          <w:right w:space="0" w:sz="0" w:val="nil"/>
          <w:between w:space="0" w:sz="0" w:val="nil"/>
        </w:pBdr>
        <w:spacing w:after="120" w:line="276" w:lineRule="auto"/>
        <w:ind w:left="566" w:right="-409" w:hanging="356"/>
        <w:jc w:val="both"/>
        <w:rPr>
          <w:rFonts w:ascii="Tahoma" w:cs="Tahoma" w:eastAsia="Tahoma" w:hAnsi="Tahoma"/>
          <w:color w:val="2f5496"/>
          <w:sz w:val="20"/>
          <w:szCs w:val="20"/>
        </w:rPr>
      </w:pPr>
      <w:bookmarkStart w:colFirst="0" w:colLast="0" w:name="_heading=h.3switqwsbaew" w:id="15"/>
      <w:bookmarkEnd w:id="15"/>
      <w:r w:rsidDel="00000000" w:rsidR="00000000" w:rsidRPr="00000000">
        <w:rPr>
          <w:rFonts w:ascii="Tahoma" w:cs="Tahoma" w:eastAsia="Tahoma" w:hAnsi="Tahoma"/>
          <w:color w:val="000000"/>
          <w:sz w:val="20"/>
          <w:szCs w:val="20"/>
          <w:rtl w:val="0"/>
        </w:rPr>
        <w:t xml:space="preserve">T</w:t>
      </w:r>
      <w:r w:rsidDel="00000000" w:rsidR="00000000" w:rsidRPr="00000000">
        <w:rPr>
          <w:rFonts w:ascii="Tahoma" w:cs="Tahoma" w:eastAsia="Tahoma" w:hAnsi="Tahoma"/>
          <w:color w:val="000000"/>
          <w:sz w:val="20"/>
          <w:szCs w:val="20"/>
          <w:vertAlign w:val="subscript"/>
          <w:rtl w:val="0"/>
        </w:rPr>
        <w:t xml:space="preserve">i</w:t>
      </w:r>
      <w:r w:rsidDel="00000000" w:rsidR="00000000" w:rsidRPr="00000000">
        <w:rPr>
          <w:rFonts w:ascii="Tahoma" w:cs="Tahoma" w:eastAsia="Tahoma" w:hAnsi="Tahoma"/>
          <w:color w:val="000000"/>
          <w:sz w:val="20"/>
          <w:szCs w:val="20"/>
          <w:rtl w:val="0"/>
        </w:rPr>
        <w:t xml:space="preserve"> es el plazo total de ejecución del ofertante objeto de valoración (en meses).</w:t>
      </w:r>
      <w:r w:rsidDel="00000000" w:rsidR="00000000" w:rsidRPr="00000000">
        <w:rPr>
          <w:rtl w:val="0"/>
        </w:rPr>
      </w:r>
    </w:p>
    <w:p w:rsidR="00000000" w:rsidDel="00000000" w:rsidP="00000000" w:rsidRDefault="00000000" w:rsidRPr="00000000" w14:paraId="000001AD">
      <w:pPr>
        <w:numPr>
          <w:ilvl w:val="0"/>
          <w:numId w:val="11"/>
        </w:numPr>
        <w:ind w:left="566" w:right="-409" w:hanging="360"/>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es el plazo total de ejecución mínimo ofertado, de las ofertas que hayan sido admitidas (en</w:t>
      </w:r>
      <w:r w:rsidDel="00000000" w:rsidR="00000000" w:rsidRPr="00000000">
        <w:rPr>
          <w:rFonts w:ascii="Tahoma" w:cs="Tahoma" w:eastAsia="Tahoma" w:hAnsi="Tahoma"/>
          <w:color w:val="000000"/>
          <w:sz w:val="20"/>
          <w:szCs w:val="20"/>
          <w:rtl w:val="0"/>
        </w:rPr>
        <w:t xml:space="preserve"> meses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E">
      <w:pPr>
        <w:keepNext w:val="1"/>
        <w:keepLines w:val="1"/>
        <w:pBdr>
          <w:top w:space="0" w:sz="0" w:val="nil"/>
          <w:left w:space="0" w:sz="0" w:val="nil"/>
          <w:bottom w:space="0" w:sz="0" w:val="nil"/>
          <w:right w:space="0" w:sz="0" w:val="nil"/>
          <w:between w:space="0" w:sz="0" w:val="nil"/>
        </w:pBdr>
        <w:spacing w:after="120" w:line="276" w:lineRule="auto"/>
        <w:ind w:left="-141" w:right="-409" w:firstLine="0"/>
        <w:rPr>
          <w:rFonts w:ascii="Tahoma" w:cs="Tahoma" w:eastAsia="Tahoma" w:hAnsi="Tahoma"/>
          <w:b w:val="1"/>
          <w:color w:val="000000"/>
          <w:sz w:val="20"/>
          <w:szCs w:val="20"/>
        </w:rPr>
      </w:pPr>
      <w:bookmarkStart w:colFirst="0" w:colLast="0" w:name="_heading=h.qqra85az6qd2" w:id="16"/>
      <w:bookmarkEnd w:id="16"/>
      <w:r w:rsidDel="00000000" w:rsidR="00000000" w:rsidRPr="00000000">
        <w:rPr>
          <w:rFonts w:ascii="Tahoma" w:cs="Tahoma" w:eastAsia="Tahoma" w:hAnsi="Tahoma"/>
          <w:b w:val="1"/>
          <w:color w:val="000000"/>
          <w:sz w:val="20"/>
          <w:szCs w:val="20"/>
          <w:rtl w:val="0"/>
        </w:rPr>
        <w:t xml:space="preserve">NOTAS:</w:t>
      </w:r>
    </w:p>
    <w:p w:rsidR="00000000" w:rsidDel="00000000" w:rsidP="00000000" w:rsidRDefault="00000000" w:rsidRPr="00000000" w14:paraId="000001AF">
      <w:pPr>
        <w:keepNext w:val="1"/>
        <w:keepLines w:val="1"/>
        <w:numPr>
          <w:ilvl w:val="0"/>
          <w:numId w:val="1"/>
        </w:numPr>
        <w:pBdr>
          <w:top w:space="0" w:sz="0" w:val="nil"/>
          <w:left w:space="0" w:sz="0" w:val="nil"/>
          <w:bottom w:space="0" w:sz="0" w:val="nil"/>
          <w:right w:space="0" w:sz="0" w:val="nil"/>
          <w:between w:space="0" w:sz="0" w:val="nil"/>
        </w:pBdr>
        <w:spacing w:after="120" w:line="276" w:lineRule="auto"/>
        <w:ind w:left="425" w:right="-409" w:hanging="360"/>
        <w:jc w:val="both"/>
        <w:rPr>
          <w:rFonts w:ascii="Tahoma" w:cs="Tahoma" w:eastAsia="Tahoma" w:hAnsi="Tahoma"/>
          <w:color w:val="000000"/>
          <w:sz w:val="20"/>
          <w:szCs w:val="20"/>
        </w:rPr>
      </w:pPr>
      <w:bookmarkStart w:colFirst="0" w:colLast="0" w:name="_heading=h.t0td2yxi5mab" w:id="17"/>
      <w:bookmarkEnd w:id="17"/>
      <w:r w:rsidDel="00000000" w:rsidR="00000000" w:rsidRPr="00000000">
        <w:rPr>
          <w:rFonts w:ascii="Tahoma" w:cs="Tahoma" w:eastAsia="Tahoma" w:hAnsi="Tahoma"/>
          <w:color w:val="000000"/>
          <w:sz w:val="20"/>
          <w:szCs w:val="20"/>
          <w:rtl w:val="0"/>
        </w:rPr>
        <w:t xml:space="preserve">El plazo de ejecución propuesto se entenderá ofertado como meses. Por lo tanto, a la vista del plazo total de ejecución ofrecido, la reducción de plazo que resulte se considerará que se efectúa por </w:t>
      </w:r>
      <w:r w:rsidDel="00000000" w:rsidR="00000000" w:rsidRPr="00000000">
        <w:rPr>
          <w:rFonts w:ascii="Tahoma" w:cs="Tahoma" w:eastAsia="Tahoma" w:hAnsi="Tahoma"/>
          <w:sz w:val="20"/>
          <w:szCs w:val="20"/>
          <w:rtl w:val="0"/>
        </w:rPr>
        <w:t xml:space="preserve">mes entero o medio mes (0,5)</w:t>
      </w:r>
      <w:r w:rsidDel="00000000" w:rsidR="00000000" w:rsidRPr="00000000">
        <w:rPr>
          <w:rFonts w:ascii="Tahoma" w:cs="Tahoma" w:eastAsia="Tahoma" w:hAnsi="Tahoma"/>
          <w:color w:val="000000"/>
          <w:sz w:val="20"/>
          <w:szCs w:val="20"/>
          <w:rtl w:val="0"/>
        </w:rPr>
        <w:t xml:space="preserve"> </w:t>
      </w:r>
      <w:r w:rsidDel="00000000" w:rsidR="00000000" w:rsidRPr="00000000">
        <w:rPr>
          <w:rFonts w:ascii="Tahoma" w:cs="Tahoma" w:eastAsia="Tahoma" w:hAnsi="Tahoma"/>
          <w:b w:val="1"/>
          <w:color w:val="000000"/>
          <w:sz w:val="20"/>
          <w:szCs w:val="20"/>
          <w:rtl w:val="0"/>
        </w:rPr>
        <w:t xml:space="preserve">respecto del plazo máximo de ejecución</w:t>
      </w:r>
      <w:r w:rsidDel="00000000" w:rsidR="00000000" w:rsidRPr="00000000">
        <w:rPr>
          <w:rFonts w:ascii="Tahoma" w:cs="Tahoma" w:eastAsia="Tahoma" w:hAnsi="Tahoma"/>
          <w:color w:val="000000"/>
          <w:sz w:val="20"/>
          <w:szCs w:val="20"/>
          <w:rtl w:val="0"/>
        </w:rPr>
        <w:t xml:space="preserve"> indicado a la letra E) del Cuadro-Resumen de Características y determinado en el </w:t>
      </w:r>
      <w:r w:rsidDel="00000000" w:rsidR="00000000" w:rsidRPr="00000000">
        <w:rPr>
          <w:rFonts w:ascii="Tahoma" w:cs="Tahoma" w:eastAsia="Tahoma" w:hAnsi="Tahoma"/>
          <w:sz w:val="20"/>
          <w:szCs w:val="20"/>
          <w:rtl w:val="0"/>
        </w:rPr>
        <w:t xml:space="preserve">Proyecto Constructivo</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1B0">
      <w:pPr>
        <w:keepNext w:val="1"/>
        <w:keepLines w:val="1"/>
        <w:numPr>
          <w:ilvl w:val="0"/>
          <w:numId w:val="1"/>
        </w:numPr>
        <w:pBdr>
          <w:top w:space="0" w:sz="0" w:val="nil"/>
          <w:left w:space="0" w:sz="0" w:val="nil"/>
          <w:bottom w:space="0" w:sz="0" w:val="nil"/>
          <w:right w:space="0" w:sz="0" w:val="nil"/>
          <w:between w:space="0" w:sz="0" w:val="nil"/>
        </w:pBdr>
        <w:spacing w:after="200" w:line="276" w:lineRule="auto"/>
        <w:ind w:left="425" w:right="-409" w:hanging="360"/>
        <w:jc w:val="both"/>
        <w:rPr>
          <w:rFonts w:ascii="Tahoma" w:cs="Tahoma" w:eastAsia="Tahoma" w:hAnsi="Tahoma"/>
          <w:color w:val="000000"/>
          <w:sz w:val="20"/>
          <w:szCs w:val="20"/>
        </w:rPr>
      </w:pPr>
      <w:bookmarkStart w:colFirst="0" w:colLast="0" w:name="_heading=h.wssv2gj3yvmc" w:id="18"/>
      <w:bookmarkEnd w:id="18"/>
      <w:r w:rsidDel="00000000" w:rsidR="00000000" w:rsidRPr="00000000">
        <w:rPr>
          <w:rFonts w:ascii="Tahoma" w:cs="Tahoma" w:eastAsia="Tahoma" w:hAnsi="Tahoma"/>
          <w:color w:val="000000"/>
          <w:sz w:val="20"/>
          <w:szCs w:val="20"/>
          <w:u w:val="single"/>
          <w:rtl w:val="0"/>
        </w:rPr>
        <w:t xml:space="preserve">El máximo de meses que se podrá reducir el plazo máximo indicado es de DOS (2) meses.</w:t>
      </w:r>
      <w:r w:rsidDel="00000000" w:rsidR="00000000" w:rsidRPr="00000000">
        <w:rPr>
          <w:rFonts w:ascii="Tahoma" w:cs="Tahoma" w:eastAsia="Tahoma" w:hAnsi="Tahoma"/>
          <w:color w:val="000000"/>
          <w:sz w:val="20"/>
          <w:szCs w:val="20"/>
          <w:rtl w:val="0"/>
        </w:rPr>
        <w:t xml:space="preserve"> En caso de ofertar una reducción superior a DOS (2) meses, se entenderá, a efectos de valoración de la oferta, que lo es para el máximo, esto es, los DOS (2) meses.</w:t>
      </w:r>
    </w:p>
    <w:p w:rsidR="00000000" w:rsidDel="00000000" w:rsidP="00000000" w:rsidRDefault="00000000" w:rsidRPr="00000000" w14:paraId="000001B1">
      <w:pPr>
        <w:keepNext w:val="1"/>
        <w:keepLines w:val="1"/>
        <w:numPr>
          <w:ilvl w:val="0"/>
          <w:numId w:val="1"/>
        </w:numPr>
        <w:pBdr>
          <w:top w:space="0" w:sz="0" w:val="nil"/>
          <w:left w:space="0" w:sz="0" w:val="nil"/>
          <w:bottom w:space="0" w:sz="0" w:val="nil"/>
          <w:right w:space="0" w:sz="0" w:val="nil"/>
          <w:between w:space="0" w:sz="0" w:val="nil"/>
        </w:pBdr>
        <w:spacing w:after="240" w:line="276" w:lineRule="auto"/>
        <w:ind w:left="425" w:right="-409" w:hanging="360"/>
        <w:jc w:val="both"/>
        <w:rPr>
          <w:rFonts w:ascii="Tahoma" w:cs="Tahoma" w:eastAsia="Tahoma" w:hAnsi="Tahoma"/>
          <w:color w:val="000000"/>
          <w:sz w:val="20"/>
          <w:szCs w:val="20"/>
        </w:rPr>
      </w:pPr>
      <w:bookmarkStart w:colFirst="0" w:colLast="0" w:name="_heading=h.td273nbck7dt" w:id="19"/>
      <w:bookmarkEnd w:id="19"/>
      <w:r w:rsidDel="00000000" w:rsidR="00000000" w:rsidRPr="00000000">
        <w:rPr>
          <w:rFonts w:ascii="Tahoma" w:cs="Tahoma" w:eastAsia="Tahoma" w:hAnsi="Tahoma"/>
          <w:color w:val="000000"/>
          <w:sz w:val="20"/>
          <w:szCs w:val="20"/>
          <w:rtl w:val="0"/>
        </w:rPr>
        <w:t xml:space="preserve">Quedarán excluidas del presente procedimiento aquellas ofertas que propongan un </w:t>
      </w:r>
      <w:r w:rsidDel="00000000" w:rsidR="00000000" w:rsidRPr="00000000">
        <w:rPr>
          <w:rFonts w:ascii="Tahoma" w:cs="Tahoma" w:eastAsia="Tahoma" w:hAnsi="Tahoma"/>
          <w:color w:val="000000"/>
          <w:sz w:val="20"/>
          <w:szCs w:val="20"/>
          <w:u w:val="single"/>
          <w:rtl w:val="0"/>
        </w:rPr>
        <w:t xml:space="preserve">plazo total de ejecución superior al plazo máximo</w:t>
      </w:r>
      <w:r w:rsidDel="00000000" w:rsidR="00000000" w:rsidRPr="00000000">
        <w:rPr>
          <w:rFonts w:ascii="Tahoma" w:cs="Tahoma" w:eastAsia="Tahoma" w:hAnsi="Tahoma"/>
          <w:color w:val="000000"/>
          <w:sz w:val="20"/>
          <w:szCs w:val="20"/>
          <w:rtl w:val="0"/>
        </w:rPr>
        <w:t xml:space="preserve"> indicado a la letra E) del Cuadro-resumen de Características y determinado en el </w:t>
      </w:r>
      <w:r w:rsidDel="00000000" w:rsidR="00000000" w:rsidRPr="00000000">
        <w:rPr>
          <w:rFonts w:ascii="Tahoma" w:cs="Tahoma" w:eastAsia="Tahoma" w:hAnsi="Tahoma"/>
          <w:sz w:val="20"/>
          <w:szCs w:val="20"/>
          <w:rtl w:val="0"/>
        </w:rPr>
        <w:t xml:space="preserve">Proyecto Constructivo</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1B2">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(Mejora Opcional) Plazo de garantía: hasta 5 puntos.</w:t>
      </w:r>
    </w:p>
    <w:p w:rsidR="00000000" w:rsidDel="00000000" w:rsidP="00000000" w:rsidRDefault="00000000" w:rsidRPr="00000000" w14:paraId="000001B3">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será valorado de acuerdo con la siguiente fórmula:</w:t>
      </w:r>
    </w:p>
    <w:p w:rsidR="00000000" w:rsidDel="00000000" w:rsidP="00000000" w:rsidRDefault="00000000" w:rsidRPr="00000000" w14:paraId="000001B4">
      <w:pPr>
        <w:jc w:val="center"/>
        <w:rPr>
          <w:rFonts w:ascii="Tahoma" w:cs="Tahoma" w:eastAsia="Tahoma" w:hAnsi="Tahoma"/>
          <w:sz w:val="20"/>
          <w:szCs w:val="20"/>
        </w:rPr>
      </w:pPr>
      <w:bookmarkStart w:colFirst="0" w:colLast="0" w:name="_heading=h.ty1dcwc3nvti" w:id="20"/>
      <w:bookmarkEnd w:id="20"/>
      <m:oMath>
        <m:r>
          <w:rPr>
            <w:rFonts w:ascii="Tahoma" w:cs="Tahoma" w:eastAsia="Tahoma" w:hAnsi="Tahoma"/>
            <w:color w:val="000000"/>
            <w:sz w:val="20"/>
            <w:szCs w:val="20"/>
          </w:rPr>
          <m:t xml:space="preserve">Puntuación=</m:t>
        </m:r>
        <m:r>
          <w:rPr>
            <w:rFonts w:ascii="Cambria Math" w:cs="Cambria Math" w:eastAsia="Cambria Math" w:hAnsi="Cambria Math"/>
            <w:color w:val="000000"/>
            <w:sz w:val="20"/>
            <w:szCs w:val="20"/>
          </w:rPr>
          <m:t xml:space="preserve">5</m:t>
        </m:r>
        <m:r>
          <w:rPr>
            <w:rFonts w:ascii="Tahoma" w:cs="Tahoma" w:eastAsia="Tahoma" w:hAnsi="Tahoma"/>
            <w:color w:val="000000"/>
            <w:sz w:val="20"/>
            <w:szCs w:val="20"/>
          </w:rPr>
          <m:t xml:space="preserve"> x </m:t>
        </m:r>
        <m:f>
          <m:fPr>
            <m:ctrlPr>
              <w:rPr>
                <w:rFonts w:ascii="Tahoma" w:cs="Tahoma" w:eastAsia="Tahoma" w:hAnsi="Tahoma"/>
                <w:color w:val="000000"/>
                <w:sz w:val="20"/>
                <w:szCs w:val="20"/>
              </w:rPr>
            </m:ctrlPr>
          </m:fPr>
          <m:num>
            <m:r>
              <w:rPr>
                <w:rFonts w:ascii="Tahoma" w:cs="Tahoma" w:eastAsia="Tahoma" w:hAnsi="Tahoma"/>
                <w:color w:val="000000"/>
                <w:sz w:val="20"/>
                <w:szCs w:val="20"/>
              </w:rPr>
              <m:t xml:space="preserve">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i</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min</m:t>
                </m:r>
              </m:sub>
            </m:sSub>
            <m:r>
              <w:rPr>
                <w:rFonts w:ascii="Tahoma" w:cs="Tahoma" w:eastAsia="Tahoma" w:hAnsi="Tahoma"/>
                <w:color w:val="000000"/>
                <w:sz w:val="20"/>
                <w:szCs w:val="20"/>
              </w:rPr>
              <m:t xml:space="preserve"> </m:t>
            </m:r>
          </m:num>
          <m:den>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máx</m:t>
                </m:r>
              </m:sub>
            </m:sSub>
            <m:r>
              <w:rPr>
                <w:rFonts w:ascii="Tahoma" w:cs="Tahoma" w:eastAsia="Tahoma" w:hAnsi="Tahoma"/>
                <w:color w:val="000000"/>
                <w:sz w:val="20"/>
                <w:szCs w:val="20"/>
              </w:rPr>
              <m:t xml:space="preserve"> - </m:t>
            </m:r>
            <m:sSub>
              <m:sSubPr>
                <m:ctrlPr>
                  <w:rPr>
                    <w:rFonts w:ascii="Tahoma" w:cs="Tahoma" w:eastAsia="Tahoma" w:hAnsi="Tahoma"/>
                    <w:color w:val="000000"/>
                    <w:sz w:val="20"/>
                    <w:szCs w:val="20"/>
                  </w:rPr>
                </m:ctrlPr>
              </m:sSubPr>
              <m:e>
                <m:r>
                  <w:rPr>
                    <w:rFonts w:ascii="Tahoma" w:cs="Tahoma" w:eastAsia="Tahoma" w:hAnsi="Tahoma"/>
                    <w:color w:val="000000"/>
                    <w:sz w:val="20"/>
                    <w:szCs w:val="20"/>
                  </w:rPr>
                  <m:t xml:space="preserve">TG</m:t>
                </m:r>
              </m:e>
              <m:sub>
                <m:r>
                  <w:rPr>
                    <w:rFonts w:ascii="Tahoma" w:cs="Tahoma" w:eastAsia="Tahoma" w:hAnsi="Tahoma"/>
                    <w:color w:val="000000"/>
                    <w:sz w:val="20"/>
                    <w:szCs w:val="20"/>
                  </w:rPr>
                  <m:t xml:space="preserve">min</m:t>
                </m:r>
              </m:sub>
            </m:sSub>
            <m:r>
              <w:rPr>
                <w:rFonts w:ascii="Tahoma" w:cs="Tahoma" w:eastAsia="Tahoma" w:hAnsi="Tahoma"/>
                <w:color w:val="000000"/>
                <w:sz w:val="20"/>
                <w:szCs w:val="20"/>
              </w:rPr>
              <m:t xml:space="preserve"> </m:t>
            </m:r>
          </m:den>
        </m:f>
      </m:oMath>
      <w:r w:rsidDel="00000000" w:rsidR="00000000" w:rsidRPr="00000000">
        <w:rPr>
          <w:rtl w:val="0"/>
        </w:rPr>
      </w:r>
    </w:p>
    <w:p w:rsidR="00000000" w:rsidDel="00000000" w:rsidP="00000000" w:rsidRDefault="00000000" w:rsidRPr="00000000" w14:paraId="000001B5">
      <w:pPr>
        <w:rPr>
          <w:rFonts w:ascii="Tahoma" w:cs="Tahoma" w:eastAsia="Tahoma" w:hAnsi="Tahoma"/>
          <w:sz w:val="20"/>
          <w:szCs w:val="20"/>
        </w:rPr>
      </w:pPr>
      <w:bookmarkStart w:colFirst="0" w:colLast="0" w:name="_heading=h.kqnwe2wh487h" w:id="21"/>
      <w:bookmarkEnd w:id="21"/>
      <w:r w:rsidDel="00000000" w:rsidR="00000000" w:rsidRPr="00000000">
        <w:rPr>
          <w:rFonts w:ascii="Tahoma" w:cs="Tahoma" w:eastAsia="Tahoma" w:hAnsi="Tahoma"/>
          <w:color w:val="000000"/>
          <w:sz w:val="20"/>
          <w:szCs w:val="20"/>
          <w:rtl w:val="0"/>
        </w:rPr>
        <w:t xml:space="preserve">Dónde:</w:t>
      </w:r>
      <w:r w:rsidDel="00000000" w:rsidR="00000000" w:rsidRPr="00000000">
        <w:rPr>
          <w:rtl w:val="0"/>
        </w:rPr>
      </w:r>
    </w:p>
    <w:p w:rsidR="00000000" w:rsidDel="00000000" w:rsidP="00000000" w:rsidRDefault="00000000" w:rsidRPr="00000000" w14:paraId="000001B6">
      <w:pPr>
        <w:numPr>
          <w:ilvl w:val="0"/>
          <w:numId w:val="11"/>
        </w:numPr>
        <w:spacing w:after="120" w:line="276" w:lineRule="auto"/>
        <w:ind w:left="720" w:hanging="360"/>
        <w:jc w:val="both"/>
        <w:rPr>
          <w:rFonts w:ascii="Tahoma" w:cs="Tahoma" w:eastAsia="Tahoma" w:hAnsi="Tahoma"/>
          <w:sz w:val="20"/>
          <w:szCs w:val="20"/>
          <w:u w:val="none"/>
        </w:rPr>
      </w:pPr>
      <w:bookmarkStart w:colFirst="0" w:colLast="0" w:name="_heading=h.gwtsum2rl4dp" w:id="22"/>
      <w:bookmarkEnd w:id="22"/>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el plazo de garantía máxima ofertado, de las ofertas que hayan sido admitidas (en años).</w:t>
      </w:r>
      <w:r w:rsidDel="00000000" w:rsidR="00000000" w:rsidRPr="00000000">
        <w:rPr>
          <w:rtl w:val="0"/>
        </w:rPr>
      </w:r>
    </w:p>
    <w:p w:rsidR="00000000" w:rsidDel="00000000" w:rsidP="00000000" w:rsidRDefault="00000000" w:rsidRPr="00000000" w14:paraId="000001B7">
      <w:pPr>
        <w:numPr>
          <w:ilvl w:val="0"/>
          <w:numId w:val="11"/>
        </w:numPr>
        <w:spacing w:after="120" w:before="0" w:line="276" w:lineRule="auto"/>
        <w:ind w:left="720" w:hanging="360"/>
        <w:jc w:val="both"/>
        <w:rPr>
          <w:rFonts w:ascii="Tahoma" w:cs="Tahoma" w:eastAsia="Tahoma" w:hAnsi="Tahoma"/>
          <w:sz w:val="20"/>
          <w:szCs w:val="20"/>
          <w:u w:val="none"/>
        </w:rPr>
      </w:pPr>
      <w:bookmarkStart w:colFirst="0" w:colLast="0" w:name="_heading=h.v28o41j8ibin" w:id="23"/>
      <w:bookmarkEnd w:id="23"/>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 </w:t>
      </w:r>
      <w:r w:rsidDel="00000000" w:rsidR="00000000" w:rsidRPr="00000000">
        <w:rPr>
          <w:rFonts w:ascii="Tahoma" w:cs="Tahoma" w:eastAsia="Tahoma" w:hAnsi="Tahoma"/>
          <w:sz w:val="20"/>
          <w:szCs w:val="20"/>
          <w:rtl w:val="0"/>
        </w:rPr>
        <w:t xml:space="preserve"> es el plazo de garantía del operador económico objeto de valoración (años).</w:t>
      </w:r>
      <w:r w:rsidDel="00000000" w:rsidR="00000000" w:rsidRPr="00000000">
        <w:rPr>
          <w:rtl w:val="0"/>
        </w:rPr>
      </w:r>
    </w:p>
    <w:p w:rsidR="00000000" w:rsidDel="00000000" w:rsidP="00000000" w:rsidRDefault="00000000" w:rsidRPr="00000000" w14:paraId="000001B8">
      <w:pPr>
        <w:numPr>
          <w:ilvl w:val="0"/>
          <w:numId w:val="11"/>
        </w:numPr>
        <w:spacing w:after="120" w:before="0" w:line="276" w:lineRule="auto"/>
        <w:ind w:left="720" w:hanging="360"/>
        <w:jc w:val="both"/>
        <w:rPr>
          <w:rFonts w:ascii="Tahoma" w:cs="Tahoma" w:eastAsia="Tahoma" w:hAnsi="Tahoma"/>
          <w:sz w:val="20"/>
          <w:szCs w:val="20"/>
          <w:u w:val="none"/>
        </w:rPr>
      </w:pPr>
      <w:bookmarkStart w:colFirst="0" w:colLast="0" w:name="_heading=h.pm4dk1n8p5eh" w:id="24"/>
      <w:bookmarkEnd w:id="24"/>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mín </w:t>
      </w:r>
      <w:r w:rsidDel="00000000" w:rsidR="00000000" w:rsidRPr="00000000">
        <w:rPr>
          <w:rFonts w:ascii="Tahoma" w:cs="Tahoma" w:eastAsia="Tahoma" w:hAnsi="Tahoma"/>
          <w:sz w:val="20"/>
          <w:szCs w:val="20"/>
          <w:rtl w:val="0"/>
        </w:rPr>
        <w:t xml:space="preserve">es el plazo de garantía mínimo indicado en la letra L) del Cuadro-resumen de Características y en el Proyecto Constructivo, es de </w:t>
      </w:r>
      <w:r w:rsidDel="00000000" w:rsidR="00000000" w:rsidRPr="00000000">
        <w:rPr>
          <w:rFonts w:ascii="Tahoma" w:cs="Tahoma" w:eastAsia="Tahoma" w:hAnsi="Tahoma"/>
          <w:b w:val="1"/>
          <w:sz w:val="20"/>
          <w:szCs w:val="20"/>
          <w:rtl w:val="0"/>
        </w:rPr>
        <w:t xml:space="preserve">UN (1) año</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1B9">
      <w:pPr>
        <w:keepNext w:val="1"/>
        <w:keepLines w:val="1"/>
        <w:pBdr>
          <w:top w:space="0" w:sz="0" w:val="nil"/>
          <w:left w:space="0" w:sz="0" w:val="nil"/>
          <w:bottom w:space="0" w:sz="0" w:val="nil"/>
          <w:right w:space="0" w:sz="0" w:val="nil"/>
          <w:between w:space="0" w:sz="0" w:val="nil"/>
        </w:pBdr>
        <w:spacing w:after="120" w:line="276" w:lineRule="auto"/>
        <w:ind w:left="-141" w:right="-409" w:firstLine="0"/>
        <w:rPr>
          <w:rFonts w:ascii="Tahoma" w:cs="Tahoma" w:eastAsia="Tahoma" w:hAnsi="Tahoma"/>
          <w:b w:val="1"/>
          <w:color w:val="000000"/>
          <w:sz w:val="20"/>
          <w:szCs w:val="20"/>
        </w:rPr>
      </w:pPr>
      <w:bookmarkStart w:colFirst="0" w:colLast="0" w:name="_heading=h.nuuhm8scbs5s" w:id="25"/>
      <w:bookmarkEnd w:id="25"/>
      <w:r w:rsidDel="00000000" w:rsidR="00000000" w:rsidRPr="00000000">
        <w:rPr>
          <w:rFonts w:ascii="Tahoma" w:cs="Tahoma" w:eastAsia="Tahoma" w:hAnsi="Tahoma"/>
          <w:b w:val="1"/>
          <w:color w:val="000000"/>
          <w:sz w:val="20"/>
          <w:szCs w:val="20"/>
          <w:rtl w:val="0"/>
        </w:rPr>
        <w:t xml:space="preserve">NOTAS:</w:t>
      </w:r>
    </w:p>
    <w:p w:rsidR="00000000" w:rsidDel="00000000" w:rsidP="00000000" w:rsidRDefault="00000000" w:rsidRPr="00000000" w14:paraId="000001BA">
      <w:pPr>
        <w:keepNext w:val="1"/>
        <w:keepLines w:val="1"/>
        <w:numPr>
          <w:ilvl w:val="0"/>
          <w:numId w:val="1"/>
        </w:numPr>
        <w:pBdr>
          <w:top w:space="0" w:sz="0" w:val="nil"/>
          <w:left w:space="0" w:sz="0" w:val="nil"/>
          <w:bottom w:space="0" w:sz="0" w:val="nil"/>
          <w:right w:space="0" w:sz="0" w:val="nil"/>
          <w:between w:space="0" w:sz="0" w:val="nil"/>
        </w:pBdr>
        <w:spacing w:after="120" w:line="276" w:lineRule="auto"/>
        <w:ind w:left="425" w:right="-409"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plazo de garantía propuesto se entenderá ofrecido como </w:t>
      </w:r>
      <w:r w:rsidDel="00000000" w:rsidR="00000000" w:rsidRPr="00000000">
        <w:rPr>
          <w:rFonts w:ascii="Tahoma" w:cs="Tahoma" w:eastAsia="Tahoma" w:hAnsi="Tahoma"/>
          <w:color w:val="000000"/>
          <w:sz w:val="20"/>
          <w:szCs w:val="20"/>
          <w:u w:val="single"/>
          <w:rtl w:val="0"/>
        </w:rPr>
        <w:t xml:space="preserve">años enteros.</w:t>
      </w:r>
      <w:r w:rsidDel="00000000" w:rsidR="00000000" w:rsidRPr="00000000">
        <w:rPr>
          <w:rFonts w:ascii="Tahoma" w:cs="Tahoma" w:eastAsia="Tahoma" w:hAnsi="Tahoma"/>
          <w:color w:val="000000"/>
          <w:sz w:val="20"/>
          <w:szCs w:val="20"/>
          <w:rtl w:val="0"/>
        </w:rPr>
        <w:t xml:space="preserve"> El máximo de años que se podrá ofrecer el plazo de garantía es de CINCO (5) años</w:t>
      </w:r>
      <w:r w:rsidDel="00000000" w:rsidR="00000000" w:rsidRPr="00000000">
        <w:rPr>
          <w:rFonts w:ascii="Tahoma" w:cs="Tahoma" w:eastAsia="Tahoma" w:hAnsi="Tahoma"/>
          <w:color w:val="000000"/>
          <w:sz w:val="20"/>
          <w:szCs w:val="20"/>
          <w:u w:val="single"/>
          <w:rtl w:val="0"/>
        </w:rPr>
        <w:t xml:space="preserve">.</w:t>
      </w:r>
      <w:r w:rsidDel="00000000" w:rsidR="00000000" w:rsidRPr="00000000">
        <w:rPr>
          <w:rFonts w:ascii="Tahoma" w:cs="Tahoma" w:eastAsia="Tahoma" w:hAnsi="Tahoma"/>
          <w:color w:val="000000"/>
          <w:sz w:val="20"/>
          <w:szCs w:val="20"/>
          <w:rtl w:val="0"/>
        </w:rPr>
        <w:t xml:space="preserve"> En caso, de ofrecer un plazo de garantía superior a CINCO (5) años, se entenderá, a efectos de valoración de la oferta, que lo es para el máximo, es decir, los CINCO (5) años.</w:t>
      </w:r>
    </w:p>
    <w:p w:rsidR="00000000" w:rsidDel="00000000" w:rsidP="00000000" w:rsidRDefault="00000000" w:rsidRPr="00000000" w14:paraId="000001BB">
      <w:pPr>
        <w:keepNext w:val="1"/>
        <w:keepLines w:val="1"/>
        <w:numPr>
          <w:ilvl w:val="0"/>
          <w:numId w:val="1"/>
        </w:numPr>
        <w:pBdr>
          <w:top w:space="0" w:sz="0" w:val="nil"/>
          <w:left w:space="0" w:sz="0" w:val="nil"/>
          <w:bottom w:space="0" w:sz="0" w:val="nil"/>
          <w:right w:space="0" w:sz="0" w:val="nil"/>
          <w:between w:space="0" w:sz="0" w:val="nil"/>
        </w:pBdr>
        <w:spacing w:after="240" w:line="276" w:lineRule="auto"/>
        <w:ind w:left="425" w:right="-409" w:hanging="360"/>
        <w:jc w:val="both"/>
        <w:rPr>
          <w:rFonts w:ascii="Tahoma" w:cs="Tahoma" w:eastAsia="Tahoma" w:hAnsi="Tahoma"/>
          <w:color w:val="000000"/>
          <w:sz w:val="20"/>
          <w:szCs w:val="20"/>
        </w:rPr>
      </w:pPr>
      <w:bookmarkStart w:colFirst="0" w:colLast="0" w:name="_heading=h.tda2ihwcuqnv" w:id="26"/>
      <w:bookmarkEnd w:id="26"/>
      <w:r w:rsidDel="00000000" w:rsidR="00000000" w:rsidRPr="00000000">
        <w:rPr>
          <w:rFonts w:ascii="Tahoma" w:cs="Tahoma" w:eastAsia="Tahoma" w:hAnsi="Tahoma"/>
          <w:color w:val="000000"/>
          <w:sz w:val="20"/>
          <w:szCs w:val="20"/>
          <w:rtl w:val="0"/>
        </w:rPr>
        <w:t xml:space="preserve">Quedarán excluidas del presente procedimiento aquellas ofertas que propongan un </w:t>
      </w:r>
      <w:r w:rsidDel="00000000" w:rsidR="00000000" w:rsidRPr="00000000">
        <w:rPr>
          <w:rFonts w:ascii="Tahoma" w:cs="Tahoma" w:eastAsia="Tahoma" w:hAnsi="Tahoma"/>
          <w:color w:val="000000"/>
          <w:sz w:val="20"/>
          <w:szCs w:val="20"/>
          <w:u w:val="single"/>
          <w:rtl w:val="0"/>
        </w:rPr>
        <w:t xml:space="preserve">plazo total de garantía inferior al plazo mínimo</w:t>
      </w:r>
      <w:r w:rsidDel="00000000" w:rsidR="00000000" w:rsidRPr="00000000">
        <w:rPr>
          <w:rFonts w:ascii="Tahoma" w:cs="Tahoma" w:eastAsia="Tahoma" w:hAnsi="Tahoma"/>
          <w:color w:val="000000"/>
          <w:sz w:val="20"/>
          <w:szCs w:val="20"/>
          <w:rtl w:val="0"/>
        </w:rPr>
        <w:t xml:space="preserve"> indicado a la letra L) del Cuadro-resumen de Características y determinado en el </w:t>
      </w:r>
      <w:r w:rsidDel="00000000" w:rsidR="00000000" w:rsidRPr="00000000">
        <w:rPr>
          <w:rFonts w:ascii="Tahoma" w:cs="Tahoma" w:eastAsia="Tahoma" w:hAnsi="Tahoma"/>
          <w:sz w:val="20"/>
          <w:szCs w:val="20"/>
          <w:rtl w:val="0"/>
        </w:rPr>
        <w:t xml:space="preserve">Proyecto Constructivo</w:t>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1BC">
      <w:pPr>
        <w:keepNext w:val="1"/>
        <w:keepLines w:val="1"/>
        <w:pBdr>
          <w:top w:space="0" w:sz="0" w:val="nil"/>
          <w:left w:space="0" w:sz="0" w:val="nil"/>
          <w:bottom w:space="0" w:sz="0" w:val="nil"/>
          <w:right w:space="0" w:sz="0" w:val="nil"/>
          <w:between w:space="0" w:sz="0" w:val="nil"/>
        </w:pBdr>
        <w:spacing w:after="120" w:line="276" w:lineRule="auto"/>
        <w:ind w:right="-409"/>
        <w:jc w:val="center"/>
        <w:rPr>
          <w:rFonts w:ascii="Tahoma" w:cs="Tahoma" w:eastAsia="Tahoma" w:hAnsi="Tahoma"/>
          <w:b w:val="1"/>
          <w:color w:val="000000"/>
          <w:sz w:val="20"/>
          <w:szCs w:val="20"/>
        </w:rPr>
      </w:pPr>
      <w:bookmarkStart w:colFirst="0" w:colLast="0" w:name="_heading=h.7iyd8i3a1t7i" w:id="27"/>
      <w:bookmarkEnd w:id="27"/>
      <w:r w:rsidDel="00000000" w:rsidR="00000000" w:rsidRPr="00000000">
        <w:rPr>
          <w:rtl w:val="0"/>
        </w:rPr>
      </w:r>
    </w:p>
    <w:p w:rsidR="00000000" w:rsidDel="00000000" w:rsidP="00000000" w:rsidRDefault="00000000" w:rsidRPr="00000000" w14:paraId="000001BD">
      <w:pPr>
        <w:keepNext w:val="1"/>
        <w:keepLines w:val="1"/>
        <w:pBdr>
          <w:top w:space="0" w:sz="0" w:val="nil"/>
          <w:left w:space="0" w:sz="0" w:val="nil"/>
          <w:bottom w:space="0" w:sz="0" w:val="nil"/>
          <w:right w:space="0" w:sz="0" w:val="nil"/>
          <w:between w:space="0" w:sz="0" w:val="nil"/>
        </w:pBdr>
        <w:spacing w:after="120" w:line="276" w:lineRule="auto"/>
        <w:ind w:right="-409"/>
        <w:jc w:val="center"/>
        <w:rPr>
          <w:rFonts w:ascii="Tahoma" w:cs="Tahoma" w:eastAsia="Tahoma" w:hAnsi="Tahoma"/>
          <w:b w:val="1"/>
          <w:color w:val="000000"/>
          <w:sz w:val="20"/>
          <w:szCs w:val="20"/>
        </w:rPr>
      </w:pPr>
      <w:bookmarkStart w:colFirst="0" w:colLast="0" w:name="_heading=h.o3yo2eco8a2r" w:id="28"/>
      <w:bookmarkEnd w:id="28"/>
      <w:r w:rsidDel="00000000" w:rsidR="00000000" w:rsidRPr="00000000">
        <w:br w:type="page"/>
      </w:r>
      <w:r w:rsidDel="00000000" w:rsidR="00000000" w:rsidRPr="00000000">
        <w:rPr>
          <w:rtl w:val="0"/>
        </w:rPr>
      </w:r>
    </w:p>
    <w:p w:rsidR="00000000" w:rsidDel="00000000" w:rsidP="00000000" w:rsidRDefault="00000000" w:rsidRPr="00000000" w14:paraId="000001BE">
      <w:pPr>
        <w:pStyle w:val="Heading1"/>
        <w:ind w:right="-6"/>
        <w:jc w:val="center"/>
        <w:rPr/>
      </w:pPr>
      <w:bookmarkStart w:colFirst="0" w:colLast="0" w:name="_heading=h.7ku7d3h5myce" w:id="29"/>
      <w:bookmarkEnd w:id="29"/>
      <w:r w:rsidDel="00000000" w:rsidR="00000000" w:rsidRPr="00000000">
        <w:rPr>
          <w:rtl w:val="0"/>
        </w:rPr>
        <w:t xml:space="preserve">ANEXO Nº 12</w:t>
      </w:r>
    </w:p>
    <w:p w:rsidR="00000000" w:rsidDel="00000000" w:rsidP="00000000" w:rsidRDefault="00000000" w:rsidRPr="00000000" w14:paraId="000001BF">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MODELOS DE GARANTÍA DEFINITIVA</w:t>
      </w:r>
    </w:p>
    <w:p w:rsidR="00000000" w:rsidDel="00000000" w:rsidP="00000000" w:rsidRDefault="00000000" w:rsidRPr="00000000" w14:paraId="000001C0">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AVAL BANCARIO DEFINITIVO</w:t>
      </w:r>
    </w:p>
    <w:p w:rsidR="00000000" w:rsidDel="00000000" w:rsidP="00000000" w:rsidRDefault="00000000" w:rsidRPr="00000000" w14:paraId="000001C1">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C2">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C3">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C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indicado en la cláusula de garantía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C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C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8">
      <w:pPr>
        <w:spacing w:after="120" w:line="276" w:lineRule="auto"/>
        <w:ind w:right="-409"/>
        <w:jc w:val="both"/>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9">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CERTIFICADO DE SEGURO DE CAUCIÓN</w:t>
      </w:r>
    </w:p>
    <w:p w:rsidR="00000000" w:rsidDel="00000000" w:rsidP="00000000" w:rsidRDefault="00000000" w:rsidRPr="00000000" w14:paraId="000001CA">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LA GARANTÍA DEFINITIVA</w:t>
      </w:r>
    </w:p>
    <w:p w:rsidR="00000000" w:rsidDel="00000000" w:rsidP="00000000" w:rsidRDefault="00000000" w:rsidRPr="00000000" w14:paraId="000001CB">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CC">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p w:rsidR="00000000" w:rsidDel="00000000" w:rsidP="00000000" w:rsidRDefault="00000000" w:rsidRPr="00000000" w14:paraId="000001CD">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CF">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D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2"/>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D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D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D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D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D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D6">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D7">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D8">
      <w:pPr>
        <w:spacing w:after="240" w:line="276" w:lineRule="auto"/>
        <w:ind w:right="-409"/>
        <w:jc w:val="both"/>
        <w:rPr>
          <w:rFonts w:ascii="Tahoma" w:cs="Tahoma" w:eastAsia="Tahoma" w:hAnsi="Tahoma"/>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9">
      <w:pPr>
        <w:pStyle w:val="Heading1"/>
        <w:ind w:right="-6"/>
        <w:jc w:val="center"/>
        <w:rPr/>
      </w:pPr>
      <w:bookmarkStart w:colFirst="0" w:colLast="0" w:name="_heading=h.fvas6xqupmri" w:id="30"/>
      <w:bookmarkEnd w:id="30"/>
      <w:r w:rsidDel="00000000" w:rsidR="00000000" w:rsidRPr="00000000">
        <w:rPr>
          <w:rtl w:val="0"/>
        </w:rPr>
        <w:t xml:space="preserve">ANEXO Nº 13</w:t>
      </w:r>
    </w:p>
    <w:p w:rsidR="00000000" w:rsidDel="00000000" w:rsidP="00000000" w:rsidRDefault="00000000" w:rsidRPr="00000000" w14:paraId="000001DA">
      <w:pPr>
        <w:spacing w:after="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CONTRATO TIPO</w:t>
      </w:r>
    </w:p>
    <w:p w:rsidR="00000000" w:rsidDel="00000000" w:rsidP="00000000" w:rsidRDefault="00000000" w:rsidRPr="00000000" w14:paraId="000001DB">
      <w:pPr>
        <w:spacing w:after="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OBRA DE CONSTRUCCIÓN DE LA NUEVA TUBERÍA DE IMPULSIÓN DEL INTERCEPTOR DE CASTELLDEFELS</w:t>
      </w:r>
    </w:p>
    <w:p w:rsidR="00000000" w:rsidDel="00000000" w:rsidP="00000000" w:rsidRDefault="00000000" w:rsidRPr="00000000" w14:paraId="000001DC">
      <w:pPr>
        <w:spacing w:after="24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AB/2025/177)</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2">
    <w:pPr>
      <w:tabs>
        <w:tab w:val="center" w:leader="none" w:pos="4252"/>
        <w:tab w:val="right" w:leader="none" w:pos="8504"/>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DD">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1DE">
      <w:pPr>
        <w:rPr/>
      </w:pPr>
      <w:r w:rsidDel="00000000" w:rsidR="00000000" w:rsidRPr="00000000">
        <w:rPr>
          <w:rStyle w:val="FootnoteReference"/>
          <w:vertAlign w:val="superscript"/>
        </w:rPr>
        <w:footnoteRef/>
      </w:r>
      <w:r w:rsidDel="00000000" w:rsidR="00000000" w:rsidRPr="00000000">
        <w:rPr>
          <w:rtl w:val="0"/>
        </w:rPr>
      </w:r>
    </w:p>
  </w:footnote>
  <w:footnote w:id="2">
    <w:p w:rsidR="00000000" w:rsidDel="00000000" w:rsidP="00000000" w:rsidRDefault="00000000" w:rsidRPr="00000000" w14:paraId="000001DF">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0">
    <w:pPr>
      <w:tabs>
        <w:tab w:val="center" w:leader="none" w:pos="4252"/>
        <w:tab w:val="right" w:leader="none" w:pos="8504"/>
      </w:tabs>
      <w:spacing w:after="0" w:line="240" w:lineRule="auto"/>
      <w:rPr>
        <w:color w:val="000000"/>
      </w:rPr>
    </w:pPr>
    <w:r w:rsidDel="00000000" w:rsidR="00000000" w:rsidRPr="00000000">
      <w:rPr/>
      <w:drawing>
        <wp:inline distB="0" distT="0" distL="0" distR="0">
          <wp:extent cx="1397000" cy="38925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E1">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5">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7">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8">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0">
    <w:lvl w:ilvl="0">
      <w:start w:val="0"/>
      <w:numFmt w:val="bullet"/>
      <w:lvlText w:val="●"/>
      <w:lvlJc w:val="left"/>
      <w:pPr>
        <w:ind w:left="720" w:hanging="360"/>
      </w:pPr>
      <w:rPr>
        <w:rFonts w:ascii="Calibri" w:cs="Calibri" w:eastAsia="Calibri" w:hAnsi="Calibri"/>
        <w:b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11">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_tradn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pacing w:after="120" w:line="276" w:lineRule="auto"/>
      <w:ind w:left="360" w:right="-4" w:hanging="360"/>
      <w:jc w:val="both"/>
    </w:pPr>
    <w:rPr>
      <w:rFonts w:ascii="Tahoma" w:cs="Tahoma" w:eastAsia="Tahoma" w:hAnsi="Tahoma"/>
      <w:b w:val="1"/>
      <w:color w:val="000000"/>
      <w:sz w:val="20"/>
      <w:szCs w:val="20"/>
      <w:u w:val="single"/>
    </w:rPr>
  </w:style>
  <w:style w:type="paragraph" w:styleId="Heading2">
    <w:name w:val="heading 2"/>
    <w:basedOn w:val="Normal"/>
    <w:next w:val="Normal"/>
    <w:pPr>
      <w:keepNext w:val="1"/>
      <w:tabs>
        <w:tab w:val="left" w:leader="none" w:pos="141"/>
        <w:tab w:val="left" w:leader="none" w:pos="2551"/>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pPr>
      <w:spacing w:after="0" w:before="40"/>
      <w:outlineLvl w:val="6"/>
    </w:pPr>
    <w:rPr>
      <w:rFonts w:ascii="Calibri Light" w:hAnsi="Calibri Light"/>
      <w:i w:val="1"/>
      <w:color w:val="1f3763"/>
    </w:rPr>
  </w:style>
  <w:style w:type="paragraph" w:styleId="Ttulo8">
    <w:name w:val="heading 8"/>
    <w:basedOn w:val="Normal"/>
    <w:next w:val="Normal"/>
    <w:pPr>
      <w:spacing w:after="0" w:before="40"/>
      <w:outlineLvl w:val="7"/>
    </w:pPr>
    <w:rPr>
      <w:rFonts w:ascii="Calibri Light" w:hAnsi="Calibri Light"/>
      <w:color w:val="333333"/>
      <w:sz w:val="21"/>
    </w:rPr>
  </w:style>
  <w:style w:type="paragraph" w:styleId="Ttulo9">
    <w:name w:val="heading 9"/>
    <w:basedOn w:val="Normal"/>
    <w:next w:val="Normal"/>
    <w:pPr>
      <w:spacing w:after="0" w:before="40"/>
      <w:outlineLvl w:val="8"/>
    </w:pPr>
    <w:rPr>
      <w:rFonts w:ascii="Calibri Light" w:hAnsi="Calibri Light"/>
      <w:i w:val="1"/>
      <w:color w:val="333333"/>
      <w:sz w:val="2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rPr>
      <w:rFonts w:ascii="Calibri Light" w:cs="Times New Roman" w:hAnsi="Calibri Light"/>
      <w:color w:val="2f5496"/>
      <w:sz w:val="32"/>
      <w:szCs w:val="32"/>
    </w:rPr>
  </w:style>
  <w:style w:type="character" w:styleId="Ttulo2Car" w:customStyle="1">
    <w:name w:val="Título 2 Car"/>
    <w:basedOn w:val="Fuentedeprrafopredeter"/>
    <w:rPr>
      <w:rFonts w:ascii="Cambria" w:cs="Times New Roman" w:hAnsi="Cambria"/>
      <w:b w:val="1"/>
      <w:bCs w:val="1"/>
      <w:i w:val="1"/>
      <w:iCs w:val="1"/>
      <w:sz w:val="28"/>
      <w:szCs w:val="28"/>
    </w:rPr>
  </w:style>
  <w:style w:type="character" w:styleId="Ttulo3Car" w:customStyle="1">
    <w:name w:val="Título 3 Car"/>
    <w:basedOn w:val="Fuentedeprrafopredeter"/>
    <w:rPr>
      <w:rFonts w:ascii="Calibri Light" w:cs="Times New Roman" w:hAnsi="Calibri Light"/>
      <w:color w:val="1f3763"/>
      <w:sz w:val="24"/>
      <w:szCs w:val="24"/>
    </w:r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style>
  <w:style w:type="paragraph" w:styleId="Prrafodelista">
    <w:name w:val="List Paragraph"/>
    <w:basedOn w:val="Normal"/>
    <w:pPr>
      <w:spacing w:after="240" w:line="240" w:lineRule="auto"/>
      <w:contextualSpacing w:val="1"/>
      <w:jc w:val="both"/>
    </w:pPr>
    <w:rPr>
      <w:rFonts w:ascii="Tahoma" w:cs="Tahoma" w:hAnsi="Tahoma"/>
      <w:b w:val="1"/>
    </w:rPr>
  </w:style>
  <w:style w:type="character" w:styleId="PrrafodelistaCar" w:customStyle="1">
    <w:name w:val="Párrafo de lista Car"/>
    <w:basedOn w:val="Fuentedeprrafopredeter"/>
    <w:rPr>
      <w:rFonts w:ascii="Tahoma" w:cs="Tahoma" w:hAnsi="Tahoma"/>
      <w:b w:val="1"/>
    </w:rPr>
  </w:style>
  <w:style w:type="character" w:styleId="Textodelmarcadordeposicin">
    <w:name w:val="Placeholder Text"/>
    <w:basedOn w:val="Fuentedeprrafopredeter"/>
    <w:rPr>
      <w:color w:val="808080"/>
    </w:rPr>
  </w:style>
  <w:style w:type="character" w:styleId="Refdecomentario">
    <w:name w:val="annotation reference"/>
    <w:basedOn w:val="Fuentedeprrafopredeter"/>
    <w:rPr>
      <w:sz w:val="16"/>
      <w:szCs w:val="16"/>
    </w:rPr>
  </w:style>
  <w:style w:type="paragraph" w:styleId="Textocomentario">
    <w:name w:val="annotation text"/>
    <w:basedOn w:val="Normal"/>
    <w:pPr>
      <w:spacing w:line="240" w:lineRule="auto"/>
    </w:pPr>
    <w:rPr>
      <w:sz w:val="20"/>
      <w:szCs w:val="20"/>
    </w:rPr>
  </w:style>
  <w:style w:type="character" w:styleId="TextocomentarioCar" w:customStyle="1">
    <w:name w:val="Texto comentario Car"/>
    <w:basedOn w:val="Fuentedeprrafopredeter"/>
    <w:rPr>
      <w:sz w:val="20"/>
      <w:szCs w:val="20"/>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basedOn w:val="TextocomentarioCar"/>
    <w:rPr>
      <w:b w:val="1"/>
      <w:bCs w:val="1"/>
      <w:sz w:val="20"/>
      <w:szCs w:val="20"/>
    </w:rPr>
  </w:style>
  <w:style w:type="paragraph" w:styleId="Textodeglobo">
    <w:name w:val="Balloon Text"/>
    <w:basedOn w:val="Normal"/>
    <w:pPr>
      <w:spacing w:after="0" w:line="240" w:lineRule="auto"/>
    </w:pPr>
    <w:rPr>
      <w:rFonts w:ascii="Segoe UI" w:cs="Segoe UI" w:hAnsi="Segoe UI"/>
      <w:sz w:val="18"/>
      <w:szCs w:val="18"/>
    </w:rPr>
  </w:style>
  <w:style w:type="character" w:styleId="TextodegloboCar" w:customStyle="1">
    <w:name w:val="Texto de globo Car"/>
    <w:basedOn w:val="Fuentedeprrafopredeter"/>
    <w:rPr>
      <w:rFonts w:ascii="Segoe UI" w:cs="Segoe UI" w:hAnsi="Segoe UI"/>
      <w:sz w:val="18"/>
      <w:szCs w:val="18"/>
    </w:rPr>
  </w:style>
  <w:style w:type="paragraph" w:styleId="Textoindependiente2">
    <w:name w:val="Body Text 2"/>
    <w:basedOn w:val="Normal"/>
    <w:pPr>
      <w:spacing w:after="0" w:line="240" w:lineRule="auto"/>
    </w:pPr>
    <w:rPr>
      <w:rFonts w:ascii="Times New Roman" w:cs="Times New Roman" w:hAnsi="Times New Roman"/>
      <w:sz w:val="24"/>
      <w:szCs w:val="24"/>
    </w:rPr>
  </w:style>
  <w:style w:type="character" w:styleId="Textoindependiente2Car1" w:customStyle="1">
    <w:name w:val="Texto independiente 2 Car1"/>
    <w:basedOn w:val="Fuentedeprrafopredeter"/>
    <w:rPr>
      <w:rFonts w:ascii="Times New Roman" w:cs="Times New Roman" w:hAnsi="Times New Roman"/>
      <w:sz w:val="24"/>
      <w:szCs w:val="24"/>
    </w:rPr>
  </w:style>
  <w:style w:type="character" w:styleId="Textoindependiente2Car" w:customStyle="1">
    <w:name w:val="Texto independiente 2 Car"/>
    <w:basedOn w:val="Fuentedeprrafopredeter"/>
  </w:style>
  <w:style w:type="paragraph" w:styleId="Revisin">
    <w:name w:val="Revision"/>
    <w:pPr>
      <w:spacing w:after="0" w:line="240" w:lineRule="auto"/>
    </w:pPr>
  </w:style>
  <w:style w:type="character" w:styleId="Hipervnculo">
    <w:name w:val="Hyperlink"/>
    <w:basedOn w:val="Fuentedeprrafopredeter"/>
    <w:rPr>
      <w:color w:val="0563c1"/>
      <w:u w:val="single"/>
    </w:rPr>
  </w:style>
  <w:style w:type="character" w:styleId="Mencinsinresolver1" w:customStyle="1">
    <w:name w:val="Mención sin resolver1"/>
    <w:basedOn w:val="Fuentedeprrafopredeter"/>
    <w:rPr>
      <w:color w:val="605e5c"/>
    </w:rPr>
  </w:style>
  <w:style w:type="paragraph" w:styleId="Textoindependiente">
    <w:name w:val="Body Text"/>
    <w:basedOn w:val="Normal"/>
    <w:pPr>
      <w:spacing w:after="120"/>
    </w:pPr>
  </w:style>
  <w:style w:type="character" w:styleId="TextoindependienteCar" w:customStyle="1">
    <w:name w:val="Texto independiente Car"/>
    <w:basedOn w:val="Fuentedeprrafopredeter"/>
  </w:style>
  <w:style w:type="character" w:styleId="Mencinsinresolver2" w:customStyle="1">
    <w:name w:val="Mención sin resolver2"/>
    <w:basedOn w:val="Fuentedeprrafopredeter"/>
    <w:rPr>
      <w:color w:val="605e5c"/>
    </w:rPr>
  </w:style>
  <w:style w:type="character" w:styleId="Hipervnculovisitado">
    <w:name w:val="FollowedHyperlink"/>
    <w:basedOn w:val="Fuentedeprrafopredeter"/>
    <w:rPr>
      <w:color w:val="954f72"/>
      <w:u w:val="single"/>
    </w:rPr>
  </w:style>
  <w:style w:type="paragraph" w:styleId="Default" w:customStyle="1">
    <w:name w:val="Default"/>
    <w:pPr>
      <w:widowControl w:val="0"/>
      <w:spacing w:after="0" w:line="240" w:lineRule="auto"/>
    </w:pPr>
    <w:rPr>
      <w:rFonts w:ascii="Arial" w:cs="Arial" w:hAnsi="Arial"/>
      <w:color w:val="000000"/>
      <w:sz w:val="24"/>
      <w:szCs w:val="24"/>
    </w:rPr>
  </w:style>
  <w:style w:type="character" w:styleId="Mencinsinresolver3" w:customStyle="1">
    <w:name w:val="Mención sin resolver3"/>
    <w:basedOn w:val="Fuentedeprrafopredeter"/>
    <w:rPr>
      <w:color w:val="605e5c"/>
    </w:rPr>
  </w:style>
  <w:style w:type="character" w:styleId="Mencinsinresolver">
    <w:name w:val="Unresolved Mention"/>
    <w:basedOn w:val="Fuentedeprrafopredeter"/>
    <w:rPr>
      <w:color w:val="605e5c"/>
    </w:rPr>
  </w:style>
  <w:style w:type="paragraph" w:styleId="CM4" w:customStyle="1">
    <w:name w:val="CM4"/>
    <w:basedOn w:val="Default"/>
    <w:next w:val="Default"/>
    <w:rPr>
      <w:color w:val="auto"/>
    </w:rPr>
  </w:style>
  <w:style w:type="paragraph" w:styleId="Direccininterior" w:customStyle="1">
    <w:name w:val="Dirección interior"/>
    <w:basedOn w:val="Normal"/>
    <w:pPr>
      <w:spacing w:after="0" w:line="240" w:lineRule="auto"/>
    </w:pPr>
    <w:rPr>
      <w:rFonts w:ascii="Arial" w:cs="Times New Roman" w:hAnsi="Arial"/>
      <w:sz w:val="24"/>
      <w:szCs w:val="24"/>
    </w:rPr>
  </w:style>
  <w:style w:type="character" w:styleId="nfasis">
    <w:name w:val="Emphasis"/>
    <w:basedOn w:val="Fuentedeprrafopredeter"/>
    <w:rPr>
      <w:i w:val="1"/>
      <w:iCs w:val="1"/>
    </w:rPr>
  </w:style>
  <w:style w:type="paragraph" w:styleId="HTMLconformatoprevio">
    <w:name w:val="HTML Preformatted"/>
    <w:basedOn w:val="Normal"/>
    <w:pPr>
      <w:tabs>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spacing w:after="0" w:line="240" w:lineRule="auto"/>
    </w:pPr>
    <w:rPr>
      <w:rFonts w:ascii="Courier New" w:cs="Courier New" w:hAnsi="Courier New"/>
      <w:sz w:val="20"/>
      <w:szCs w:val="20"/>
    </w:rPr>
  </w:style>
  <w:style w:type="character" w:styleId="HTMLconformatoprevioCar" w:customStyle="1">
    <w:name w:val="HTML con formato previo Car"/>
    <w:basedOn w:val="Fuentedeprrafopredeter"/>
    <w:rPr>
      <w:rFonts w:ascii="Courier New" w:cs="Courier New" w:hAnsi="Courier New"/>
      <w:sz w:val="20"/>
      <w:szCs w:val="20"/>
    </w:rPr>
  </w:style>
  <w:style w:type="character" w:styleId="y2iqfc" w:customStyle="1">
    <w:name w:val="y2iqfc"/>
    <w:basedOn w:val="Fuentedeprrafopredeter"/>
  </w:style>
  <w:style w:type="paragraph" w:styleId="NormalWeb">
    <w:name w:val="Normal (Web)"/>
    <w:basedOn w:val="Normal"/>
    <w:pPr>
      <w:spacing w:after="100" w:afterAutospacing="1" w:before="100" w:beforeAutospacing="1" w:line="240" w:lineRule="auto"/>
    </w:pPr>
    <w:rPr>
      <w:rFonts w:ascii="Times New Roman" w:cs="Times New Roman" w:hAnsi="Times New Roman"/>
      <w:sz w:val="24"/>
      <w:szCs w:val="24"/>
    </w:rPr>
  </w:style>
  <w:style w:type="character" w:styleId="apple-tab-span" w:customStyle="1">
    <w:name w:val="apple-tab-span"/>
    <w:basedOn w:val="Fuentedeprrafopredeter"/>
  </w:style>
  <w:style w:type="paragraph" w:styleId="Piedepgina1" w:customStyle="1">
    <w:name w:val="Pie de página1"/>
    <w:pPr>
      <w:spacing w:after="0" w:line="240" w:lineRule="auto"/>
      <w:jc w:val="both"/>
    </w:pPr>
    <w:rPr>
      <w:rFonts w:ascii="Arial" w:cs="Times New Roman" w:hAnsi="Arial"/>
      <w:color w:val="000000"/>
      <w:sz w:val="20"/>
      <w:szCs w:val="20"/>
    </w:rPr>
  </w:style>
  <w:style w:type="character" w:styleId="cf01" w:customStyle="1">
    <w:name w:val="cf01"/>
    <w:basedOn w:val="Fuentedeprrafopredeter"/>
    <w:rPr>
      <w:rFonts w:ascii="Segoe UI" w:cs="Segoe UI" w:hAnsi="Segoe UI"/>
      <w:sz w:val="18"/>
      <w:szCs w:val="18"/>
    </w:rPr>
  </w:style>
  <w:style w:type="character" w:styleId="Heading7Char" w:customStyle="1">
    <w:name w:val="Heading 7 Char"/>
    <w:basedOn w:val="Fuentedeprrafopredeter"/>
    <w:rPr>
      <w:rFonts w:ascii="Calibri Light" w:hAnsi="Calibri Light"/>
      <w:i w:val="1"/>
      <w:color w:val="1f3763"/>
    </w:rPr>
  </w:style>
  <w:style w:type="character" w:styleId="Heading8Char" w:customStyle="1">
    <w:name w:val="Heading 8 Char"/>
    <w:basedOn w:val="Fuentedeprrafopredeter"/>
    <w:rPr>
      <w:rFonts w:ascii="Calibri Light" w:hAnsi="Calibri Light"/>
      <w:color w:val="333333"/>
      <w:sz w:val="21"/>
    </w:rPr>
  </w:style>
  <w:style w:type="character" w:styleId="Heading9Char" w:customStyle="1">
    <w:name w:val="Heading 9 Char"/>
    <w:basedOn w:val="Fuentedeprrafopredeter"/>
    <w:rPr>
      <w:rFonts w:ascii="Calibri Light" w:hAnsi="Calibri Light"/>
      <w:i w:val="1"/>
      <w:color w:val="333333"/>
      <w:sz w:val="21"/>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left w:w="108.0" w:type="dxa"/>
        <w:right w:w="108.0" w:type="dxa"/>
      </w:tblCellMar>
    </w:tblPr>
  </w:style>
  <w:style w:type="table" w:styleId="a3" w:customStyle="1">
    <w:basedOn w:val="TableNormal0"/>
    <w:tblPr>
      <w:tblStyleRowBandSize w:val="1"/>
      <w:tblStyleColBandSize w:val="1"/>
      <w:tblCellMar>
        <w:left w:w="108.0" w:type="dxa"/>
        <w:right w:w="108.0" w:type="dxa"/>
      </w:tblCellMar>
    </w:tblPr>
  </w:style>
  <w:style w:type="table" w:styleId="a4" w:customStyle="1">
    <w:basedOn w:val="TableNormal0"/>
    <w:tblPr>
      <w:tblStyleRowBandSize w:val="1"/>
      <w:tblStyleColBandSize w:val="1"/>
      <w:tblCellMar>
        <w:left w:w="108.0" w:type="dxa"/>
        <w:right w:w="108.0" w:type="dxa"/>
      </w:tblCellMar>
    </w:tblPr>
  </w:style>
  <w:style w:type="table" w:styleId="a5" w:customStyle="1">
    <w:basedOn w:val="TableNormal0"/>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left w:w="108.0" w:type="dxa"/>
        <w:right w:w="108.0" w:type="dxa"/>
      </w:tblCellMar>
    </w:tblPr>
  </w:style>
  <w:style w:type="table" w:styleId="a7" w:customStyle="1">
    <w:basedOn w:val="TableNormal0"/>
    <w:tblPr>
      <w:tblStyleRowBandSize w:val="1"/>
      <w:tblStyleColBandSize w:val="1"/>
      <w:tblCellMar>
        <w:left w:w="108.0" w:type="dxa"/>
        <w:right w:w="108.0" w:type="dxa"/>
      </w:tblCellMar>
    </w:tblPr>
  </w:style>
  <w:style w:type="table" w:styleId="a8" w:customStyle="1">
    <w:basedOn w:val="TableNormal0"/>
    <w:tblPr>
      <w:tblStyleRowBandSize w:val="1"/>
      <w:tblStyleColBandSize w:val="1"/>
      <w:tblCellMar>
        <w:top w:w="100.0" w:type="dxa"/>
        <w:left w:w="100.0" w:type="dxa"/>
        <w:bottom w:w="100.0" w:type="dxa"/>
        <w:right w:w="100.0" w:type="dxa"/>
      </w:tblCellMar>
    </w:tblPr>
  </w:style>
  <w:style w:type="table" w:styleId="a9" w:customStyle="1">
    <w:basedOn w:val="TableNormal0"/>
    <w:tblPr>
      <w:tblStyleRowBandSize w:val="1"/>
      <w:tblStyleColBandSize w:val="1"/>
      <w:tblCellMar>
        <w:left w:w="108.0" w:type="dxa"/>
        <w:right w:w="108.0" w:type="dxa"/>
      </w:tblCellMar>
    </w:tblPr>
  </w:style>
  <w:style w:type="table" w:styleId="aa" w:customStyle="1">
    <w:basedOn w:val="TableNormal0"/>
    <w:tblPr>
      <w:tblStyleRowBandSize w:val="1"/>
      <w:tblStyleColBandSize w:val="1"/>
      <w:tblCellMar>
        <w:left w:w="108.0" w:type="dxa"/>
        <w:right w:w="108.0" w:type="dxa"/>
      </w:tblCellMar>
    </w:tblPr>
  </w:style>
  <w:style w:type="table" w:styleId="ab" w:customStyle="1">
    <w:basedOn w:val="TableNormal0"/>
    <w:tblPr>
      <w:tblStyleRowBandSize w:val="1"/>
      <w:tblStyleColBandSize w:val="1"/>
      <w:tblCellMar>
        <w:left w:w="108.0" w:type="dxa"/>
        <w:right w:w="108.0" w:type="dxa"/>
      </w:tblCellMar>
    </w:tblPr>
  </w:style>
  <w:style w:type="table" w:styleId="ac" w:customStyle="1">
    <w:basedOn w:val="TableNormal0"/>
    <w:tblPr>
      <w:tblStyleRowBandSize w:val="1"/>
      <w:tblStyleColBandSize w:val="1"/>
      <w:tblCellMar>
        <w:left w:w="108.0" w:type="dxa"/>
        <w:right w:w="108.0" w:type="dxa"/>
      </w:tblCellMar>
    </w:tblPr>
  </w:style>
  <w:style w:type="table" w:styleId="ad" w:customStyle="1">
    <w:basedOn w:val="TableNormal0"/>
    <w:tblPr>
      <w:tblStyleRowBandSize w:val="1"/>
      <w:tblStyleColBandSize w:val="1"/>
      <w:tblCellMar>
        <w:left w:w="108.0" w:type="dxa"/>
        <w:right w:w="108.0" w:type="dxa"/>
      </w:tblCellMar>
    </w:tblPr>
  </w:style>
  <w:style w:type="table" w:styleId="ae" w:customStyle="1">
    <w:basedOn w:val="TableNormal0"/>
    <w:tblPr>
      <w:tblStyleRowBandSize w:val="1"/>
      <w:tblStyleColBandSize w:val="1"/>
      <w:tblCellMar>
        <w:left w:w="108.0" w:type="dxa"/>
        <w:right w:w="108.0" w:type="dxa"/>
      </w:tblCellMar>
    </w:tblPr>
  </w:style>
  <w:style w:type="table" w:styleId="af" w:customStyle="1">
    <w:basedOn w:val="TableNormal0"/>
    <w:tblPr>
      <w:tblStyleRowBandSize w:val="1"/>
      <w:tblStyleColBandSize w:val="1"/>
      <w:tblCellMar>
        <w:left w:w="108.0" w:type="dxa"/>
        <w:right w:w="108.0" w:type="dxa"/>
      </w:tblCellMar>
    </w:tblPr>
  </w:style>
  <w:style w:type="table" w:styleId="af0" w:customStyle="1">
    <w:basedOn w:val="TableNormal0"/>
    <w:tblPr>
      <w:tblStyleRowBandSize w:val="1"/>
      <w:tblStyleColBandSize w:val="1"/>
      <w:tblCellMar>
        <w:left w:w="108.0" w:type="dxa"/>
        <w:right w:w="108.0" w:type="dxa"/>
      </w:tblCellMar>
    </w:tblPr>
  </w:style>
  <w:style w:type="table" w:styleId="af1" w:customStyle="1">
    <w:basedOn w:val="TableNormal0"/>
    <w:tblPr>
      <w:tblStyleRowBandSize w:val="1"/>
      <w:tblStyleColBandSize w:val="1"/>
      <w:tblCellMar>
        <w:left w:w="108.0" w:type="dxa"/>
        <w:right w:w="108.0" w:type="dxa"/>
      </w:tblCellMar>
    </w:tblPr>
  </w:style>
  <w:style w:type="table" w:styleId="af2" w:customStyle="1">
    <w:basedOn w:val="TableNormal0"/>
    <w:tblPr>
      <w:tblStyleRowBandSize w:val="1"/>
      <w:tblStyleColBandSize w:val="1"/>
      <w:tblCellMar>
        <w:left w:w="108.0" w:type="dxa"/>
        <w:right w:w="108.0" w:type="dxa"/>
      </w:tblCellMar>
    </w:tblPr>
  </w:style>
  <w:style w:type="table" w:styleId="af3" w:customStyle="1">
    <w:basedOn w:val="TableNormal0"/>
    <w:tblPr>
      <w:tblStyleRowBandSize w:val="1"/>
      <w:tblStyleColBandSize w:val="1"/>
      <w:tblCellMar>
        <w:left w:w="108.0" w:type="dxa"/>
        <w:right w:w="108.0" w:type="dxa"/>
      </w:tblCellMar>
    </w:tblPr>
  </w:style>
  <w:style w:type="table" w:styleId="af4" w:customStyle="1">
    <w:basedOn w:val="TableNormal0"/>
    <w:tblPr>
      <w:tblStyleRowBandSize w:val="1"/>
      <w:tblStyleColBandSize w:val="1"/>
      <w:tblCellMar>
        <w:left w:w="108.0" w:type="dxa"/>
        <w:right w:w="108.0" w:type="dxa"/>
      </w:tblCellMar>
    </w:tblPr>
  </w:style>
  <w:style w:type="table" w:styleId="af5" w:customStyle="1">
    <w:basedOn w:val="TableNormal0"/>
    <w:tblPr>
      <w:tblStyleRowBandSize w:val="1"/>
      <w:tblStyleColBandSize w:val="1"/>
      <w:tblCellMar>
        <w:left w:w="108.0" w:type="dxa"/>
        <w:right w:w="108.0" w:type="dxa"/>
      </w:tblCellMar>
    </w:tblPr>
  </w:style>
  <w:style w:type="table" w:styleId="af6" w:customStyle="1">
    <w:basedOn w:val="TableNormal0"/>
    <w:tblPr>
      <w:tblStyleRowBandSize w:val="1"/>
      <w:tblStyleColBandSize w:val="1"/>
      <w:tblCellMar>
        <w:left w:w="108.0" w:type="dxa"/>
        <w:right w:w="108.0" w:type="dxa"/>
      </w:tblCellMar>
    </w:tbl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f7" w:customStyle="1">
    <w:basedOn w:val="TableNormal0"/>
    <w:tblPr>
      <w:tblStyleRowBandSize w:val="1"/>
      <w:tblStyleColBandSize w:val="1"/>
      <w:tblCellMar>
        <w:left w:w="108.0" w:type="dxa"/>
        <w:right w:w="108.0" w:type="dxa"/>
      </w:tblCellMar>
    </w:tblPr>
  </w:style>
  <w:style w:type="table" w:styleId="af8" w:customStyle="1">
    <w:basedOn w:val="TableNormal0"/>
    <w:tblPr>
      <w:tblStyleRowBandSize w:val="1"/>
      <w:tblStyleColBandSize w:val="1"/>
      <w:tblCellMar>
        <w:left w:w="108.0" w:type="dxa"/>
        <w:right w:w="108.0" w:type="dxa"/>
      </w:tblCellMar>
    </w:tblPr>
  </w:style>
  <w:style w:type="table" w:styleId="af9" w:customStyle="1">
    <w:basedOn w:val="TableNormal0"/>
    <w:tblPr>
      <w:tblStyleRowBandSize w:val="1"/>
      <w:tblStyleColBandSize w:val="1"/>
      <w:tblCellMar>
        <w:left w:w="108.0" w:type="dxa"/>
        <w:right w:w="108.0" w:type="dxa"/>
      </w:tblCellMar>
    </w:tblPr>
  </w:style>
  <w:style w:type="table" w:styleId="afa" w:customStyle="1">
    <w:basedOn w:val="TableNormal0"/>
    <w:tblPr>
      <w:tblStyleRowBandSize w:val="1"/>
      <w:tblStyleColBandSize w:val="1"/>
      <w:tblCellMar>
        <w:left w:w="108.0" w:type="dxa"/>
        <w:right w:w="108.0" w:type="dxa"/>
      </w:tblCellMar>
    </w:tblPr>
  </w:style>
  <w:style w:type="table" w:styleId="afb" w:customStyle="1">
    <w:basedOn w:val="TableNormal0"/>
    <w:tblPr>
      <w:tblStyleRowBandSize w:val="1"/>
      <w:tblStyleColBandSize w:val="1"/>
      <w:tblCellMar>
        <w:left w:w="108.0" w:type="dxa"/>
        <w:right w:w="108.0" w:type="dxa"/>
      </w:tblCellMar>
    </w:tblPr>
  </w:style>
  <w:style w:type="table" w:styleId="afc" w:customStyle="1">
    <w:basedOn w:val="TableNormal0"/>
    <w:tblPr>
      <w:tblStyleRowBandSize w:val="1"/>
      <w:tblStyleColBandSize w:val="1"/>
      <w:tblCellMar>
        <w:left w:w="108.0" w:type="dxa"/>
        <w:right w:w="108.0" w:type="dxa"/>
      </w:tblCellMar>
    </w:tblPr>
  </w:style>
  <w:style w:type="table" w:styleId="afd" w:customStyle="1">
    <w:basedOn w:val="TableNormal0"/>
    <w:tblPr>
      <w:tblStyleRowBandSize w:val="1"/>
      <w:tblStyleColBandSize w:val="1"/>
      <w:tblCellMar>
        <w:left w:w="108.0" w:type="dxa"/>
        <w:right w:w="108.0" w:type="dxa"/>
      </w:tblCellMar>
    </w:tblPr>
  </w:style>
  <w:style w:type="character" w:styleId="Textoennegrita">
    <w:name w:val="Strong"/>
    <w:basedOn w:val="Fuentedeprrafopredeter"/>
    <w:uiPriority w:val="22"/>
    <w:qFormat w:val="1"/>
    <w:rsid w:val="005A4F60"/>
    <w:rPr>
      <w:b w:val="1"/>
      <w:bCs w:val="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1B0cdTbrPwQq7NxLZ/vqZSovVg==">CgMxLjAyCWguNGQzNG9nODIJaC4yOGg0cXd1MgloLjQ2cjBjbzIyCWguMjA2aXB6YTIOaC5lYnltbmlmdXZqajMyDmgueWR4dmlucjMxMzUyMg5oLmoxcmVkdWJweDl2eTIOaC5iaDV5dXk5NjdneDQyCWguMTdkcDh2dTIOaC5kb25zZGJ4N2QyOXMyDmgueG94NmQxbGt4NzBrMg5oLnBqcDNxY2xiYXBsajIOaC55b2s2ZmwzNm51bHEyDmguOGJxNmkwbXFuemV2Mg5oLmc2bmQwMGN6YnZuMzIOaC4zc3dpdHF3c2JhZXcyDmgucXFyYTg1YXo2cWQyMg5oLnQwdGQyeXhpNW1hYjIOaC53c3N2MmdqM3l2bWMyDmgudGQyNzNuYmNrN2R0Mg5oLnR5MWRjd2MzbnZ0aTIOaC5rcW53ZTJ3aDQ4N2gyDmguZ3d0c3VtMnJsNGRwMg5oLnYyOG80MWo4aWJpbjIOaC5wbTRkazFuOHA1ZWgyDmgubnV1aG04c2NiczVzMg5oLnRkYTJpaHdjdXFudjIOaC43aXlkOGkzYTF0N2kyDmgubzN5bzJlY284YTJyMg5oLjdrdTdkM2g1bXljZTIOaC5mdmFzNnhxdXBtcmk4AHIhMUdpdXpUbEVlc2FfNnFWTXZNRDIwR1cta0V2Y0xoY2V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2025-08-04T05:29:00Z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MediaServiceImageTags">
    <vt:lpwstr/>
  </property>
</Properties>
</file>