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9"/>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9"/>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9"/>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9"/>
        <w:jc w:val="center"/>
        <w:rPr>
          <w:rFonts w:ascii="Tahoma" w:cs="Tahoma" w:eastAsia="Tahoma" w:hAnsi="Tahoma"/>
          <w:b w:val="1"/>
        </w:rPr>
      </w:pPr>
      <w:r w:rsidDel="00000000" w:rsidR="00000000" w:rsidRPr="00000000">
        <w:rPr>
          <w:rFonts w:ascii="Tahoma" w:cs="Tahoma" w:eastAsia="Tahoma" w:hAnsi="Tahoma"/>
          <w:b w:val="1"/>
          <w:rtl w:val="0"/>
        </w:rPr>
        <w:t xml:space="preserve">SUMINISTRO Y MANTENIMIENTO DE DOS CENTRÍFUGAS DE DESHIDRATACIÓN DE FANGOS EN LA EDAR DE GAVÁ-VILADECANS</w:t>
      </w:r>
    </w:p>
    <w:p w:rsidR="00000000" w:rsidDel="00000000" w:rsidP="00000000" w:rsidRDefault="00000000" w:rsidRPr="00000000" w14:paraId="00000008">
      <w:pPr>
        <w:spacing w:after="240" w:line="240" w:lineRule="auto"/>
        <w:ind w:right="-409"/>
        <w:jc w:val="center"/>
        <w:rPr>
          <w:rFonts w:ascii="Tahoma" w:cs="Tahoma" w:eastAsia="Tahoma" w:hAnsi="Tahoma"/>
          <w:b w:val="1"/>
        </w:rPr>
      </w:pPr>
      <w:r w:rsidDel="00000000" w:rsidR="00000000" w:rsidRPr="00000000">
        <w:rPr>
          <w:rFonts w:ascii="Tahoma" w:cs="Tahoma" w:eastAsia="Tahoma" w:hAnsi="Tahoma"/>
          <w:b w:val="1"/>
          <w:rtl w:val="0"/>
        </w:rPr>
        <w:t xml:space="preserve">(Nº EXP.: AB/2025/068)</w:t>
      </w:r>
    </w:p>
    <w:p w:rsidR="00000000" w:rsidDel="00000000" w:rsidP="00000000" w:rsidRDefault="00000000" w:rsidRPr="00000000" w14:paraId="00000009">
      <w:pPr>
        <w:spacing w:after="240" w:line="240" w:lineRule="auto"/>
        <w:ind w:right="-409"/>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9"/>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RESTRINGIDO</w:t>
      </w:r>
    </w:p>
    <w:p w:rsidR="00000000" w:rsidDel="00000000" w:rsidP="00000000" w:rsidRDefault="00000000" w:rsidRPr="00000000" w14:paraId="0000000B">
      <w:pPr>
        <w:spacing w:after="120" w:line="240"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0E">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00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
        <w:jc w:val="center"/>
        <w:rPr>
          <w:rFonts w:ascii="Tahoma" w:cs="Tahoma" w:eastAsia="Tahoma" w:hAnsi="Tahoma"/>
          <w:color w:val="1155cc"/>
          <w:sz w:val="20"/>
          <w:szCs w:val="20"/>
        </w:rPr>
      </w:pPr>
      <w:hyperlink r:id="rId9">
        <w:r w:rsidDel="00000000" w:rsidR="00000000" w:rsidRPr="00000000">
          <w:rPr>
            <w:rFonts w:ascii="Tahoma" w:cs="Tahoma" w:eastAsia="Tahoma" w:hAnsi="Tahoma"/>
            <w:color w:val="1155cc"/>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
        <w:jc w:val="both"/>
        <w:rPr>
          <w:rFonts w:ascii="Tahoma" w:cs="Tahoma" w:eastAsia="Tahoma" w:hAnsi="Tahoma"/>
          <w:color w:val="3333ff"/>
          <w:sz w:val="20"/>
          <w:szCs w:val="20"/>
        </w:rPr>
      </w:pPr>
      <w:hyperlink r:id="rId10">
        <w:r w:rsidDel="00000000" w:rsidR="00000000" w:rsidRPr="00000000">
          <w:rPr>
            <w:rFonts w:ascii="Tahoma" w:cs="Tahoma" w:eastAsia="Tahoma" w:hAnsi="Tahoma"/>
            <w:color w:val="1155cc"/>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
        <w:jc w:val="both"/>
        <w:rPr>
          <w:rFonts w:ascii="Tahoma" w:cs="Tahoma" w:eastAsia="Tahoma" w:hAnsi="Tahoma"/>
          <w:color w:val="3333ff"/>
          <w:sz w:val="20"/>
          <w:szCs w:val="20"/>
        </w:rPr>
      </w:pPr>
      <w:hyperlink r:id="rId11">
        <w:r w:rsidDel="00000000" w:rsidR="00000000" w:rsidRPr="00000000">
          <w:rPr>
            <w:rFonts w:ascii="Tahoma" w:cs="Tahoma" w:eastAsia="Tahoma" w:hAnsi="Tahoma"/>
            <w:color w:val="1155cc"/>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24">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1.a </w:t>
      </w:r>
    </w:p>
    <w:p w:rsidR="00000000" w:rsidDel="00000000" w:rsidP="00000000" w:rsidRDefault="00000000" w:rsidRPr="00000000" w14:paraId="0000003B">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03C">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3D">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3E">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03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4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4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6">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4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49">
      <w:pPr>
        <w:spacing w:after="240" w:lineRule="auto"/>
        <w:ind w:right="-4"/>
        <w:rPr>
          <w:rFonts w:ascii="Tahoma" w:cs="Tahoma" w:eastAsia="Tahoma" w:hAnsi="Tahoma"/>
        </w:rPr>
      </w:pPr>
      <w:r w:rsidDel="00000000" w:rsidR="00000000" w:rsidRPr="00000000">
        <w:rPr>
          <w:rtl w:val="0"/>
        </w:rPr>
      </w:r>
    </w:p>
    <w:p w:rsidR="00000000" w:rsidDel="00000000" w:rsidP="00000000" w:rsidRDefault="00000000" w:rsidRPr="00000000" w14:paraId="0000004A">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B">
      <w:pPr>
        <w:spacing w:after="0" w:before="120" w:line="240"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1.b</w:t>
      </w:r>
    </w:p>
    <w:p w:rsidR="00000000" w:rsidDel="00000000" w:rsidP="00000000" w:rsidRDefault="00000000" w:rsidRPr="00000000" w14:paraId="0000004D">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04E">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4F">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50">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51">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052">
      <w:pPr>
        <w:spacing w:line="276" w:lineRule="auto"/>
        <w:ind w:right="-4"/>
        <w:jc w:val="both"/>
        <w:rPr>
          <w:rFonts w:ascii="Tahoma" w:cs="Tahoma" w:eastAsia="Tahoma" w:hAnsi="Tahoma"/>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5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5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9">
      <w:pPr>
        <w:spacing w:after="120" w:line="276" w:lineRule="auto"/>
        <w:ind w:right="-4"/>
        <w:jc w:val="both"/>
        <w:rPr>
          <w:rFonts w:ascii="Tahoma" w:cs="Tahoma" w:eastAsia="Tahoma" w:hAnsi="Tahoma"/>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5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5C">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5D">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E">
      <w:pPr>
        <w:spacing w:after="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1.c</w:t>
      </w:r>
    </w:p>
    <w:p w:rsidR="00000000" w:rsidDel="00000000" w:rsidP="00000000" w:rsidRDefault="00000000" w:rsidRPr="00000000" w14:paraId="00000060">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061">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62">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NO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63">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64">
      <w:pPr>
        <w:spacing w:after="24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AB/2025/068)</w:t>
      </w:r>
      <w:r w:rsidDel="00000000" w:rsidR="00000000" w:rsidRPr="00000000">
        <w:rPr>
          <w:rtl w:val="0"/>
        </w:rPr>
      </w:r>
    </w:p>
    <w:p w:rsidR="00000000" w:rsidDel="00000000" w:rsidP="00000000" w:rsidRDefault="00000000" w:rsidRPr="00000000" w14:paraId="00000065">
      <w:pPr>
        <w:spacing w:line="276" w:lineRule="auto"/>
        <w:ind w:right="-4"/>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6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6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6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6F">
      <w:pPr>
        <w:spacing w:after="0" w:line="240" w:lineRule="auto"/>
        <w:ind w:right="-4"/>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0">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1">
      <w:pPr>
        <w:spacing w:after="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3">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074">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5">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76">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077">
      <w:pPr>
        <w:spacing w:after="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8">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0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937.123,00 €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B">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7C">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D">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F">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0">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2">
            <w:pPr>
              <w:spacing w:after="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Realización de los principales </w:t>
            </w:r>
            <w:r w:rsidDel="00000000" w:rsidR="00000000" w:rsidRPr="00000000">
              <w:rPr>
                <w:rFonts w:ascii="Tahoma" w:cs="Tahoma" w:eastAsia="Tahoma" w:hAnsi="Tahoma"/>
                <w:b w:val="1"/>
                <w:sz w:val="18"/>
                <w:szCs w:val="18"/>
                <w:rtl w:val="0"/>
              </w:rPr>
              <w:t xml:space="preserve">suministros y servicios de mantenimiento integral similares a los del objeto del contrato</w:t>
            </w:r>
            <w:r w:rsidDel="00000000" w:rsidR="00000000" w:rsidRPr="00000000">
              <w:rPr>
                <w:rFonts w:ascii="Tahoma" w:cs="Tahoma" w:eastAsia="Tahoma" w:hAnsi="Tahoma"/>
                <w:sz w:val="18"/>
                <w:szCs w:val="18"/>
                <w:rtl w:val="0"/>
              </w:rPr>
              <w:t xml:space="preserve">, efectuados en el curso de los TRES (3) últimos años.</w:t>
            </w:r>
          </w:p>
          <w:p w:rsidR="00000000" w:rsidDel="00000000" w:rsidP="00000000" w:rsidRDefault="00000000" w:rsidRPr="00000000" w14:paraId="00000083">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4">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5">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7">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8">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9">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A">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B">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C">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D">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i w:val="1"/>
                <w:sz w:val="18"/>
                <w:szCs w:val="18"/>
                <w:rtl w:val="0"/>
              </w:rPr>
              <w:t xml:space="preserve">El importe anual acumulado en el año de mayor ejecución que el operador económico deberá acreditar como ejecutado corresponderá a un </w:t>
            </w:r>
            <w:r w:rsidDel="00000000" w:rsidR="00000000" w:rsidRPr="00000000">
              <w:rPr>
                <w:rFonts w:ascii="Tahoma" w:cs="Tahoma" w:eastAsia="Tahoma" w:hAnsi="Tahoma"/>
                <w:i w:val="1"/>
                <w:sz w:val="18"/>
                <w:szCs w:val="18"/>
                <w:u w:val="single"/>
                <w:rtl w:val="0"/>
              </w:rPr>
              <w:t xml:space="preserve">importe igual o superior a 430.000,00.-€</w:t>
            </w:r>
            <w:r w:rsidDel="00000000" w:rsidR="00000000" w:rsidRPr="00000000">
              <w:rPr>
                <w:rFonts w:ascii="Tahoma" w:cs="Tahoma" w:eastAsia="Tahoma" w:hAnsi="Tahoma"/>
                <w:i w:val="1"/>
                <w:sz w:val="18"/>
                <w:szCs w:val="18"/>
                <w:rtl w:val="0"/>
              </w:rPr>
              <w:t xml:space="preserve"> referido a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E">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F">
            <w:pPr>
              <w:spacing w:after="40" w:line="276" w:lineRule="auto"/>
              <w:ind w:right="-66"/>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0">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1">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2">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76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4">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5">
            <w:pPr>
              <w:spacing w:after="40" w:line="276" w:lineRule="auto"/>
              <w:ind w:right="-66"/>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6">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7">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8">
            <w:pPr>
              <w:spacing w:after="40" w:line="276" w:lineRule="auto"/>
              <w:ind w:right="-66"/>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48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B">
            <w:pPr>
              <w:spacing w:after="40" w:line="276" w:lineRule="auto"/>
              <w:ind w:right="-66"/>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C">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D">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E">
            <w:pPr>
              <w:spacing w:after="4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8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0">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1">
            <w:pPr>
              <w:spacing w:after="60" w:line="276" w:lineRule="auto"/>
              <w:ind w:left="32"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Acreditación de la disponibilidad durante toda la vigencia del contrato, del/ de la Responsable de la actuación.</w:t>
            </w:r>
          </w:p>
          <w:p w:rsidR="00000000" w:rsidDel="00000000" w:rsidP="00000000" w:rsidRDefault="00000000" w:rsidRPr="00000000" w14:paraId="000000A2">
            <w:pPr>
              <w:numPr>
                <w:ilvl w:val="0"/>
                <w:numId w:val="4"/>
              </w:numPr>
              <w:spacing w:after="0" w:line="276" w:lineRule="auto"/>
              <w:ind w:left="720" w:right="-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en Ingeniería, especialidad industrial y/o eléctrico.</w:t>
            </w:r>
          </w:p>
          <w:p w:rsidR="00000000" w:rsidDel="00000000" w:rsidP="00000000" w:rsidRDefault="00000000" w:rsidRPr="00000000" w14:paraId="000000A3">
            <w:pPr>
              <w:numPr>
                <w:ilvl w:val="0"/>
                <w:numId w:val="4"/>
              </w:numPr>
              <w:spacing w:after="60" w:line="276" w:lineRule="auto"/>
              <w:ind w:left="720" w:right="-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acreditada mínima de DIEZ (10) años en instalaciones de sistemas de deshidratación.</w:t>
            </w:r>
          </w:p>
          <w:p w:rsidR="00000000" w:rsidDel="00000000" w:rsidP="00000000" w:rsidRDefault="00000000" w:rsidRPr="00000000" w14:paraId="000000A4">
            <w:pPr>
              <w:spacing w:after="60" w:line="276" w:lineRule="auto"/>
              <w:ind w:right="-6"/>
              <w:jc w:val="both"/>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5">
            <w:pPr>
              <w:spacing w:after="120" w:line="276" w:lineRule="auto"/>
              <w:ind w:right="-4"/>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Responsable de la actuación:</w:t>
            </w:r>
          </w:p>
          <w:p w:rsidR="00000000" w:rsidDel="00000000" w:rsidP="00000000" w:rsidRDefault="00000000" w:rsidRPr="00000000" w14:paraId="000000A6">
            <w:pPr>
              <w:spacing w:after="120" w:line="276" w:lineRule="auto"/>
              <w:ind w:right="-4"/>
              <w:jc w:val="both"/>
              <w:rPr>
                <w:rFonts w:ascii="Tahoma" w:cs="Tahoma" w:eastAsia="Tahoma" w:hAnsi="Tahoma"/>
                <w:sz w:val="18"/>
                <w:szCs w:val="18"/>
                <w:u w:val="single"/>
              </w:rPr>
            </w:pPr>
            <w:r w:rsidDel="00000000" w:rsidR="00000000" w:rsidRPr="00000000">
              <w:rPr>
                <w:rFonts w:ascii="Tahoma" w:cs="Tahoma" w:eastAsia="Tahoma" w:hAnsi="Tahoma"/>
                <w:sz w:val="18"/>
                <w:szCs w:val="18"/>
                <w:u w:val="single"/>
                <w:rtl w:val="0"/>
              </w:rPr>
              <w:t xml:space="preserve">Indicar Titulación:</w:t>
            </w:r>
          </w:p>
          <w:p w:rsidR="00000000" w:rsidDel="00000000" w:rsidP="00000000" w:rsidRDefault="00000000" w:rsidRPr="00000000" w14:paraId="000000A7">
            <w:pPr>
              <w:spacing w:after="120" w:line="276" w:lineRule="auto"/>
              <w:ind w:right="-4"/>
              <w:jc w:val="both"/>
              <w:rPr>
                <w:rFonts w:ascii="Tahoma" w:cs="Tahoma" w:eastAsia="Tahoma" w:hAnsi="Tahoma"/>
                <w:sz w:val="18"/>
                <w:szCs w:val="18"/>
                <w:u w:val="single"/>
              </w:rPr>
            </w:pPr>
            <w:r w:rsidDel="00000000" w:rsidR="00000000" w:rsidRPr="00000000">
              <w:rPr>
                <w:rtl w:val="0"/>
              </w:rPr>
            </w:r>
          </w:p>
          <w:p w:rsidR="00000000" w:rsidDel="00000000" w:rsidP="00000000" w:rsidRDefault="00000000" w:rsidRPr="00000000" w14:paraId="000000A8">
            <w:pPr>
              <w:spacing w:after="12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u w:val="single"/>
                <w:rtl w:val="0"/>
              </w:rPr>
              <w:t xml:space="preserve">Indicar núm. de años de experiencia como Responsable, en el ámbito de instalaciones de deshidratación:</w:t>
            </w:r>
            <w:r w:rsidDel="00000000" w:rsidR="00000000" w:rsidRPr="00000000">
              <w:rPr>
                <w:rFonts w:ascii="Tahoma" w:cs="Tahoma" w:eastAsia="Tahoma" w:hAnsi="Tahoma"/>
                <w:sz w:val="18"/>
                <w:szCs w:val="18"/>
                <w:rtl w:val="0"/>
              </w:rPr>
              <w:t xml:space="preserve"> [·] AÑOS.</w:t>
            </w:r>
          </w:p>
          <w:sdt>
            <w:sdtPr>
              <w:lock w:val="contentLocked"/>
              <w:tag w:val="goog_rdk_0"/>
            </w:sdtPr>
            <w:sdtContent>
              <w:tbl>
                <w:tblPr>
                  <w:tblStyle w:val="Table2"/>
                  <w:tblW w:w="417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9"/>
                  <w:tblGridChange w:id="0">
                    <w:tblGrid>
                      <w:gridCol w:w="417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AA">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AB">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C">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AD">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AE">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F">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sdtContent>
          </w:sdt>
          <w:p w:rsidR="00000000" w:rsidDel="00000000" w:rsidP="00000000" w:rsidRDefault="00000000" w:rsidRPr="00000000" w14:paraId="000000B0">
            <w:pPr>
              <w:spacing w:after="120" w:line="276" w:lineRule="auto"/>
              <w:ind w:right="-4"/>
              <w:jc w:val="both"/>
              <w:rPr>
                <w:rFonts w:ascii="Tahoma" w:cs="Tahoma" w:eastAsia="Tahoma" w:hAnsi="Tahoma"/>
                <w:b w:val="1"/>
                <w:sz w:val="18"/>
                <w:szCs w:val="18"/>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1">
            <w:pPr>
              <w:spacing w:after="60" w:line="276" w:lineRule="auto"/>
              <w:ind w:left="32"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Acreditación de la disponibilidad durante toda la vigencia del contrato, del/ de la Jefe/a de la actuación.</w:t>
            </w:r>
          </w:p>
          <w:p w:rsidR="00000000" w:rsidDel="00000000" w:rsidP="00000000" w:rsidRDefault="00000000" w:rsidRPr="00000000" w14:paraId="000000B2">
            <w:pPr>
              <w:numPr>
                <w:ilvl w:val="0"/>
                <w:numId w:val="4"/>
              </w:numPr>
              <w:spacing w:after="0" w:line="276" w:lineRule="auto"/>
              <w:ind w:left="720" w:right="-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en Ciclo Formativo de Grado Superior/ Técnico Superior en instalaciones mecánicas y/o eléctricas.</w:t>
            </w:r>
          </w:p>
          <w:p w:rsidR="00000000" w:rsidDel="00000000" w:rsidP="00000000" w:rsidRDefault="00000000" w:rsidRPr="00000000" w14:paraId="000000B3">
            <w:pPr>
              <w:numPr>
                <w:ilvl w:val="0"/>
                <w:numId w:val="4"/>
              </w:numPr>
              <w:spacing w:after="60" w:line="276" w:lineRule="auto"/>
              <w:ind w:left="720" w:right="-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acreditada mínima de CINCO (5) años en equipos de deshidratación.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spacing w:after="120" w:line="276" w:lineRule="auto"/>
              <w:ind w:right="-4"/>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Jefe/a de la actuación:</w:t>
            </w:r>
          </w:p>
          <w:p w:rsidR="00000000" w:rsidDel="00000000" w:rsidP="00000000" w:rsidRDefault="00000000" w:rsidRPr="00000000" w14:paraId="000000B5">
            <w:pPr>
              <w:spacing w:after="120" w:line="276" w:lineRule="auto"/>
              <w:ind w:right="-4"/>
              <w:jc w:val="both"/>
              <w:rPr>
                <w:rFonts w:ascii="Tahoma" w:cs="Tahoma" w:eastAsia="Tahoma" w:hAnsi="Tahoma"/>
                <w:sz w:val="18"/>
                <w:szCs w:val="18"/>
                <w:u w:val="single"/>
              </w:rPr>
            </w:pPr>
            <w:r w:rsidDel="00000000" w:rsidR="00000000" w:rsidRPr="00000000">
              <w:rPr>
                <w:rFonts w:ascii="Tahoma" w:cs="Tahoma" w:eastAsia="Tahoma" w:hAnsi="Tahoma"/>
                <w:sz w:val="18"/>
                <w:szCs w:val="18"/>
                <w:u w:val="single"/>
                <w:rtl w:val="0"/>
              </w:rPr>
              <w:t xml:space="preserve">Indicar Titulación:</w:t>
            </w:r>
          </w:p>
          <w:p w:rsidR="00000000" w:rsidDel="00000000" w:rsidP="00000000" w:rsidRDefault="00000000" w:rsidRPr="00000000" w14:paraId="000000B6">
            <w:pPr>
              <w:spacing w:after="120" w:line="276" w:lineRule="auto"/>
              <w:ind w:right="-4"/>
              <w:jc w:val="both"/>
              <w:rPr>
                <w:rFonts w:ascii="Tahoma" w:cs="Tahoma" w:eastAsia="Tahoma" w:hAnsi="Tahoma"/>
                <w:sz w:val="18"/>
                <w:szCs w:val="18"/>
                <w:u w:val="single"/>
              </w:rPr>
            </w:pPr>
            <w:r w:rsidDel="00000000" w:rsidR="00000000" w:rsidRPr="00000000">
              <w:rPr>
                <w:rtl w:val="0"/>
              </w:rPr>
            </w:r>
          </w:p>
          <w:p w:rsidR="00000000" w:rsidDel="00000000" w:rsidP="00000000" w:rsidRDefault="00000000" w:rsidRPr="00000000" w14:paraId="000000B7">
            <w:pPr>
              <w:spacing w:after="120" w:line="276" w:lineRule="auto"/>
              <w:ind w:right="-4"/>
              <w:jc w:val="both"/>
              <w:rPr>
                <w:rFonts w:ascii="Tahoma" w:cs="Tahoma" w:eastAsia="Tahoma" w:hAnsi="Tahoma"/>
                <w:b w:val="1"/>
                <w:sz w:val="20"/>
                <w:szCs w:val="20"/>
                <w:u w:val="single"/>
              </w:rPr>
            </w:pPr>
            <w:r w:rsidDel="00000000" w:rsidR="00000000" w:rsidRPr="00000000">
              <w:rPr>
                <w:rFonts w:ascii="Tahoma" w:cs="Tahoma" w:eastAsia="Tahoma" w:hAnsi="Tahoma"/>
                <w:sz w:val="18"/>
                <w:szCs w:val="18"/>
                <w:u w:val="single"/>
                <w:rtl w:val="0"/>
              </w:rPr>
              <w:t xml:space="preserve">Indicar núm. de años de experiencia como Jefe/a, en el ámbito de instalaciones de deshidratación:</w:t>
            </w:r>
            <w:r w:rsidDel="00000000" w:rsidR="00000000" w:rsidRPr="00000000">
              <w:rPr>
                <w:rFonts w:ascii="Tahoma" w:cs="Tahoma" w:eastAsia="Tahoma" w:hAnsi="Tahoma"/>
                <w:sz w:val="18"/>
                <w:szCs w:val="18"/>
                <w:rtl w:val="0"/>
              </w:rPr>
              <w:t xml:space="preserve"> [·] AÑOS.</w:t>
            </w:r>
            <w:r w:rsidDel="00000000" w:rsidR="00000000" w:rsidRPr="00000000">
              <w:rPr>
                <w:rtl w:val="0"/>
              </w:rPr>
            </w:r>
          </w:p>
          <w:sdt>
            <w:sdtPr>
              <w:lock w:val="contentLocked"/>
              <w:tag w:val="goog_rdk_1"/>
            </w:sdtPr>
            <w:sdtContent>
              <w:tbl>
                <w:tblPr>
                  <w:tblStyle w:val="Table3"/>
                  <w:tblW w:w="417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9"/>
                  <w:tblGridChange w:id="0">
                    <w:tblGrid>
                      <w:gridCol w:w="417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8">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B9">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BA">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B">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BC">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BD">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E">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sdtContent>
          </w:sdt>
          <w:p w:rsidR="00000000" w:rsidDel="00000000" w:rsidP="00000000" w:rsidRDefault="00000000" w:rsidRPr="00000000" w14:paraId="000000BF">
            <w:pPr>
              <w:spacing w:after="120" w:line="276" w:lineRule="auto"/>
              <w:ind w:right="-4"/>
              <w:jc w:val="both"/>
              <w:rPr>
                <w:rFonts w:ascii="Tahoma" w:cs="Tahoma" w:eastAsia="Tahoma" w:hAnsi="Tahoma"/>
                <w:b w:val="1"/>
                <w:sz w:val="20"/>
                <w:szCs w:val="20"/>
                <w:u w:val="single"/>
              </w:rPr>
            </w:pPr>
            <w:r w:rsidDel="00000000" w:rsidR="00000000" w:rsidRPr="00000000">
              <w:rPr>
                <w:rtl w:val="0"/>
              </w:rPr>
            </w:r>
          </w:p>
        </w:tc>
      </w:tr>
    </w:tbl>
    <w:p w:rsidR="00000000" w:rsidDel="00000000" w:rsidP="00000000" w:rsidRDefault="00000000" w:rsidRPr="00000000" w14:paraId="000000C0">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C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C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C3">
      <w:pPr>
        <w:spacing w:after="120" w:line="276" w:lineRule="auto"/>
        <w:ind w:right="-4"/>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C4">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3.1</w:t>
      </w:r>
    </w:p>
    <w:p w:rsidR="00000000" w:rsidDel="00000000" w:rsidP="00000000" w:rsidRDefault="00000000" w:rsidRPr="00000000" w14:paraId="000000C5">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0C6">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INTEGRACIÓN DE SOLVENCIA</w:t>
      </w:r>
    </w:p>
    <w:p w:rsidR="00000000" w:rsidDel="00000000" w:rsidP="00000000" w:rsidRDefault="00000000" w:rsidRPr="00000000" w14:paraId="000000C7">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C8">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0C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una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C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otra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CB">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0C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para dar cumplimiento a los requisitos de solvencia exigidos es necesario que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complete su solvencia mediante la integración de la solvencia de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0CE">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0C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en caso de que resulte adjudicatario del presente Contrato integrará su solvencia con [·][</w:t>
      </w:r>
      <w:r w:rsidDel="00000000" w:rsidR="00000000" w:rsidRPr="00000000">
        <w:rPr>
          <w:rFonts w:ascii="Tahoma" w:cs="Tahoma" w:eastAsia="Tahoma" w:hAnsi="Tahoma"/>
          <w:i w:val="1"/>
          <w:sz w:val="20"/>
          <w:szCs w:val="20"/>
          <w:rtl w:val="0"/>
        </w:rPr>
        <w:t xml:space="preserve">entidad con la que se integre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D0">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para que así conste se suscribe el presente compromiso en [·], a [·] de [·] de [·].</w:t>
      </w:r>
    </w:p>
    <w:p w:rsidR="00000000" w:rsidDel="00000000" w:rsidP="00000000" w:rsidRDefault="00000000" w:rsidRPr="00000000" w14:paraId="000000D2">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3">
      <w:pPr>
        <w:spacing w:after="120" w:line="276" w:lineRule="auto"/>
        <w:ind w:right="-4"/>
        <w:jc w:val="both"/>
        <w:rPr>
          <w:rFonts w:ascii="Tahoma" w:cs="Tahoma" w:eastAsia="Tahoma" w:hAnsi="Tahoma"/>
          <w:sz w:val="20"/>
          <w:szCs w:val="20"/>
        </w:rPr>
      </w:pPr>
      <w:r w:rsidDel="00000000" w:rsidR="00000000" w:rsidRPr="00000000">
        <w:rPr>
          <w:rtl w:val="0"/>
        </w:rPr>
      </w:r>
    </w:p>
    <w:tbl>
      <w:tblPr>
        <w:tblStyle w:val="Table4"/>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D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5">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D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 la entidad con la que se integra solvencia)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7">
            <w:pPr>
              <w:spacing w:after="120" w:line="276" w:lineRule="auto"/>
              <w:ind w:right="-4"/>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D8">
      <w:pPr>
        <w:tabs>
          <w:tab w:val="center" w:leader="none" w:pos="4252"/>
          <w:tab w:val="right" w:leader="none" w:pos="8504"/>
        </w:tabs>
        <w:spacing w:after="120" w:line="276" w:lineRule="auto"/>
        <w:ind w:right="-4"/>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0D9">
      <w:pPr>
        <w:tabs>
          <w:tab w:val="center" w:leader="none" w:pos="4252"/>
          <w:tab w:val="right" w:leader="none" w:pos="8504"/>
        </w:tabs>
        <w:spacing w:after="120" w:line="276" w:lineRule="auto"/>
        <w:ind w:right="-4"/>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w:t>
      </w:r>
      <w:r w:rsidDel="00000000" w:rsidR="00000000" w:rsidRPr="00000000">
        <w:rPr>
          <w:rFonts w:ascii="Tahoma" w:cs="Tahoma" w:eastAsia="Tahoma" w:hAnsi="Tahoma"/>
          <w:i w:val="1"/>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z w:val="20"/>
          <w:szCs w:val="20"/>
          <w:rtl w:val="0"/>
        </w:rPr>
        <w:t xml:space="preserve">Anexo Nº 1</w:t>
      </w:r>
      <w:r w:rsidDel="00000000" w:rsidR="00000000" w:rsidRPr="00000000">
        <w:rPr>
          <w:rFonts w:ascii="Tahoma" w:cs="Tahoma" w:eastAsia="Tahoma" w:hAnsi="Tahoma"/>
          <w:i w:val="1"/>
          <w:sz w:val="20"/>
          <w:szCs w:val="20"/>
          <w:rtl w:val="0"/>
        </w:rPr>
        <w:t xml:space="preserve"> y </w:t>
      </w:r>
      <w:r w:rsidDel="00000000" w:rsidR="00000000" w:rsidRPr="00000000">
        <w:rPr>
          <w:rFonts w:ascii="Tahoma" w:cs="Tahoma" w:eastAsia="Tahoma" w:hAnsi="Tahoma"/>
          <w:b w:val="1"/>
          <w:i w:val="1"/>
          <w:sz w:val="20"/>
          <w:szCs w:val="20"/>
          <w:rtl w:val="0"/>
        </w:rPr>
        <w:t xml:space="preserve">Anexo Nº 2</w:t>
      </w:r>
      <w:r w:rsidDel="00000000" w:rsidR="00000000" w:rsidRPr="00000000">
        <w:rPr>
          <w:rFonts w:ascii="Tahoma" w:cs="Tahoma" w:eastAsia="Tahoma" w:hAnsi="Tahoma"/>
          <w:i w:val="1"/>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DA">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3.2</w:t>
      </w:r>
    </w:p>
    <w:p w:rsidR="00000000" w:rsidDel="00000000" w:rsidP="00000000" w:rsidRDefault="00000000" w:rsidRPr="00000000" w14:paraId="000000DB">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0D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SUBCONTRATACIÓN</w:t>
      </w:r>
    </w:p>
    <w:p w:rsidR="00000000" w:rsidDel="00000000" w:rsidP="00000000" w:rsidRDefault="00000000" w:rsidRPr="00000000" w14:paraId="000000D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0DE">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0D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tiene previsto subcontratar las prestaciones que se detallan seguidamente, con los operadores económicos que se indican:  </w:t>
      </w:r>
    </w:p>
    <w:tbl>
      <w:tblPr>
        <w:tblStyle w:val="Table5"/>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0">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1">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2">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0E3">
            <w:pPr>
              <w:spacing w:after="120" w:line="276" w:lineRule="auto"/>
              <w:ind w:right="-4"/>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4">
            <w:pPr>
              <w:spacing w:after="120" w:line="276" w:lineRule="auto"/>
              <w:ind w:right="-4"/>
              <w:jc w:val="center"/>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La subcontratación integra la solvencia</w:t>
            </w:r>
            <w:r w:rsidDel="00000000" w:rsidR="00000000" w:rsidRPr="00000000">
              <w:rPr>
                <w:rFonts w:ascii="Tahoma" w:cs="Tahoma" w:eastAsia="Tahoma" w:hAnsi="Tahoma"/>
                <w:sz w:val="20"/>
                <w:szCs w:val="20"/>
                <w:vertAlign w:val="superscript"/>
                <w:rtl w:val="0"/>
              </w:rPr>
              <w:t xml:space="preserve">1</w:t>
            </w:r>
          </w:p>
          <w:p w:rsidR="00000000" w:rsidDel="00000000" w:rsidP="00000000" w:rsidRDefault="00000000" w:rsidRPr="00000000" w14:paraId="000000E5">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6">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7">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8">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9">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A">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B">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C">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D">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E">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F">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0">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1">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2">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3">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4">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5">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6">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7">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8">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9">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A">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B">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C">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D">
            <w:pPr>
              <w:spacing w:after="120" w:line="276" w:lineRule="auto"/>
              <w:ind w:right="-4"/>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FE">
      <w:pPr>
        <w:widowControl w:val="0"/>
        <w:spacing w:after="120" w:line="276" w:lineRule="auto"/>
        <w:ind w:right="-4"/>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F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0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01">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02">
      <w:pPr>
        <w:spacing w:after="0" w:before="120" w:lineRule="auto"/>
        <w:ind w:right="-4"/>
        <w:jc w:val="both"/>
        <w:rPr>
          <w:rFonts w:ascii="Tahoma" w:cs="Tahoma" w:eastAsia="Tahoma" w:hAnsi="Tahoma"/>
          <w:i w:val="1"/>
          <w:color w:val="767171"/>
          <w:sz w:val="18"/>
          <w:szCs w:val="18"/>
          <w:u w:val="single"/>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En todo caso, de integrarse solvencia, </w:t>
      </w:r>
      <w:r w:rsidDel="00000000" w:rsidR="00000000" w:rsidRPr="00000000">
        <w:rPr>
          <w:rFonts w:ascii="Tahoma" w:cs="Tahoma" w:eastAsia="Tahoma" w:hAnsi="Tahoma"/>
          <w:i w:val="1"/>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103">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104">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105">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106">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107">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08">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09">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color w:val="000000"/>
          <w:sz w:val="20"/>
          <w:szCs w:val="20"/>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1.650.000 €</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0B">
      <w:pPr>
        <w:spacing w:after="120" w:line="276" w:lineRule="auto"/>
        <w:ind w:right="-4"/>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0C">
      <w:pPr>
        <w:numPr>
          <w:ilvl w:val="0"/>
          <w:numId w:val="7"/>
        </w:numPr>
        <w:spacing w:after="120" w:line="276" w:lineRule="auto"/>
        <w:ind w:left="786" w:right="-4"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0D">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E">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10F">
      <w:pPr>
        <w:numPr>
          <w:ilvl w:val="0"/>
          <w:numId w:val="7"/>
        </w:numPr>
        <w:spacing w:line="276" w:lineRule="auto"/>
        <w:ind w:left="78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r w:rsidDel="00000000" w:rsidR="00000000" w:rsidRPr="00000000">
        <w:rPr>
          <w:rtl w:val="0"/>
        </w:rPr>
      </w:r>
    </w:p>
    <w:p w:rsidR="00000000" w:rsidDel="00000000" w:rsidP="00000000" w:rsidRDefault="00000000" w:rsidRPr="00000000" w14:paraId="00000110">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11">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12">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13">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14">
      <w:pPr>
        <w:spacing w:after="120" w:before="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15">
      <w:pPr>
        <w:spacing w:after="120" w:line="276" w:lineRule="auto"/>
        <w:ind w:right="-4"/>
        <w:jc w:val="both"/>
        <w:rPr>
          <w:rFonts w:ascii="Tahoma" w:cs="Tahoma" w:eastAsia="Tahoma" w:hAnsi="Tahoma"/>
          <w:sz w:val="20"/>
          <w:szCs w:val="20"/>
        </w:rPr>
        <w:sectPr>
          <w:footerReference r:id="rId13" w:type="default"/>
          <w:type w:val="nextPage"/>
          <w:pgSz w:h="16838" w:w="11906" w:orient="portrait"/>
          <w:pgMar w:bottom="1417" w:top="1417" w:left="1701" w:right="1285"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1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117">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118">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VISITA)</w:t>
      </w:r>
    </w:p>
    <w:p w:rsidR="00000000" w:rsidDel="00000000" w:rsidP="00000000" w:rsidRDefault="00000000" w:rsidRPr="00000000" w14:paraId="00000119">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1A">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1B">
      <w:pPr>
        <w:spacing w:after="120" w:before="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 con NIF [·], declara que en el día de hoy ha visitado las instalaciones objeto del presente procedimiento de contratación, convocado por AIGÜES DE BARCELONA, EMPRESA METROPOLITANA DE GESTIÓ DEL CICLE INTEGRAL DE L’AIGUA, S.A.</w:t>
      </w:r>
    </w:p>
    <w:tbl>
      <w:tblPr>
        <w:tblStyle w:val="Table6"/>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C">
            <w:pPr>
              <w:spacing w:after="120" w:before="120" w:line="276" w:lineRule="auto"/>
              <w:ind w:right="-409"/>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D">
            <w:pPr>
              <w:spacing w:after="120" w:before="120" w:line="276" w:lineRule="auto"/>
              <w:ind w:right="8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E">
            <w:pPr>
              <w:spacing w:after="120" w:before="120" w:line="276" w:lineRule="auto"/>
              <w:ind w:right="-1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F">
            <w:pPr>
              <w:spacing w:after="120" w:before="120" w:line="276" w:lineRule="auto"/>
              <w:ind w:right="-5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0">
            <w:pPr>
              <w:spacing w:after="120" w:before="120" w:line="276" w:lineRule="auto"/>
              <w:ind w:right="-12"/>
              <w:rPr>
                <w:rFonts w:ascii="Tahoma" w:cs="Tahoma" w:eastAsia="Tahoma" w:hAnsi="Tahoma"/>
                <w:sz w:val="20"/>
                <w:szCs w:val="20"/>
              </w:rPr>
            </w:pPr>
            <w:r w:rsidDel="00000000" w:rsidR="00000000" w:rsidRPr="00000000">
              <w:rPr>
                <w:rFonts w:ascii="Tahoma" w:cs="Tahoma" w:eastAsia="Tahoma" w:hAnsi="Tahoma"/>
                <w:sz w:val="20"/>
                <w:szCs w:val="20"/>
                <w:rtl w:val="0"/>
              </w:rPr>
              <w:t xml:space="preserve">EDAR Gavá-Viladecans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1">
            <w:pPr>
              <w:spacing w:after="120" w:before="120" w:line="276" w:lineRule="auto"/>
              <w:ind w:right="42"/>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2">
            <w:pPr>
              <w:spacing w:after="120" w:before="120" w:line="276" w:lineRule="auto"/>
              <w:ind w:right="-25"/>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3">
            <w:pPr>
              <w:spacing w:after="120" w:before="120" w:line="276" w:lineRule="auto"/>
              <w:ind w:right="-77"/>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2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26">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2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6</w:t>
      </w:r>
    </w:p>
    <w:p w:rsidR="00000000" w:rsidDel="00000000" w:rsidP="00000000" w:rsidRDefault="00000000" w:rsidRPr="00000000" w14:paraId="00000128">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1 - FASE PRIMERA)</w:t>
      </w:r>
    </w:p>
    <w:p w:rsidR="00000000" w:rsidDel="00000000" w:rsidP="00000000" w:rsidRDefault="00000000" w:rsidRPr="00000000" w14:paraId="00000129">
      <w:pPr>
        <w:spacing w:after="120" w:line="276" w:lineRule="auto"/>
        <w:ind w:right="-409"/>
        <w:jc w:val="center"/>
        <w:rPr>
          <w:rFonts w:ascii="Tahoma" w:cs="Tahoma" w:eastAsia="Tahoma" w:hAnsi="Tahoma"/>
          <w:b w:val="1"/>
          <w:sz w:val="20"/>
          <w:szCs w:val="20"/>
          <w:highlight w:val="cyan"/>
          <w:u w:val="single"/>
        </w:rPr>
      </w:pPr>
      <w:r w:rsidDel="00000000" w:rsidR="00000000" w:rsidRPr="00000000">
        <w:rPr>
          <w:rFonts w:ascii="Tahoma" w:cs="Tahoma" w:eastAsia="Tahoma" w:hAnsi="Tahoma"/>
          <w:b w:val="1"/>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2A">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2B">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2C">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con DNI [·], actuando en nombre propio/ en representación de la sociedad [·], con NIF [·], actuando en su condición de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2E">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z w:val="20"/>
          <w:szCs w:val="20"/>
          <w:rtl w:val="0"/>
        </w:rPr>
        <w:t xml:space="preserve">condiciones especiales de ejecución</w:t>
      </w:r>
      <w:r w:rsidDel="00000000" w:rsidR="00000000" w:rsidRPr="00000000">
        <w:rPr>
          <w:rFonts w:ascii="Tahoma" w:cs="Tahoma" w:eastAsia="Tahoma" w:hAnsi="Tahoma"/>
          <w:sz w:val="20"/>
          <w:szCs w:val="20"/>
          <w:rtl w:val="0"/>
        </w:rPr>
        <w:t xml:space="preserve"> previstas en la Cláusula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18 del presente Pliego de Condiciones Particulares en el caso de resultar adjudicatario del Contrato.</w:t>
      </w:r>
    </w:p>
    <w:p w:rsidR="00000000" w:rsidDel="00000000" w:rsidP="00000000" w:rsidRDefault="00000000" w:rsidRPr="00000000" w14:paraId="0000013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3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3">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4">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5">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8">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9">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3A">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w:t>
      </w:r>
    </w:p>
    <w:p w:rsidR="00000000" w:rsidDel="00000000" w:rsidP="00000000" w:rsidRDefault="00000000" w:rsidRPr="00000000" w14:paraId="0000013B">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CERTIFICADO DE LOS RESULTADOS DE LA REALIZACIÓN DE LA PRUEBA</w:t>
      </w:r>
      <w:r w:rsidDel="00000000" w:rsidR="00000000" w:rsidRPr="00000000">
        <w:rPr>
          <w:rtl w:val="0"/>
        </w:rPr>
      </w:r>
    </w:p>
    <w:p w:rsidR="00000000" w:rsidDel="00000000" w:rsidP="00000000" w:rsidRDefault="00000000" w:rsidRPr="00000000" w14:paraId="0000013C">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3D">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3E">
      <w:pPr>
        <w:spacing w:after="240" w:line="276" w:lineRule="auto"/>
        <w:ind w:right="-409"/>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NOTA: Se entregará una copia al licitador y otra al Órgano de Contratación.</w:t>
      </w:r>
    </w:p>
    <w:p w:rsidR="00000000" w:rsidDel="00000000" w:rsidP="00000000" w:rsidRDefault="00000000" w:rsidRPr="00000000" w14:paraId="0000013F">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como técnico de Aigües de Barcelona encargado de la supervisión de la realización de la prueba, realizada en fecha [·], declara que los resultados obtenidos en la misma han sido los siguientes:</w:t>
      </w:r>
    </w:p>
    <w:sdt>
      <w:sdtPr>
        <w:lock w:val="contentLocked"/>
        <w:tag w:val="goog_rdk_2"/>
      </w:sdtPr>
      <w:sdtContent>
        <w:tbl>
          <w:tblPr>
            <w:tblStyle w:val="Table7"/>
            <w:tblW w:w="88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0"/>
            <w:gridCol w:w="4320"/>
            <w:tblGridChange w:id="0">
              <w:tblGrid>
                <w:gridCol w:w="4500"/>
                <w:gridCol w:w="432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4c2f4" w:val="clear"/>
                <w:tcMar>
                  <w:top w:w="100.0" w:type="dxa"/>
                  <w:left w:w="100.0" w:type="dxa"/>
                  <w:bottom w:w="100.0" w:type="dxa"/>
                  <w:right w:w="100.0" w:type="dxa"/>
                </w:tcMar>
              </w:tcPr>
              <w:p w:rsidR="00000000" w:rsidDel="00000000" w:rsidP="00000000" w:rsidRDefault="00000000" w:rsidRPr="00000000" w14:paraId="00000140">
                <w:pPr>
                  <w:widowControl w:val="0"/>
                  <w:spacing w:after="0" w:line="240"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EMPRESA LICITADORA</w:t>
                </w:r>
              </w:p>
            </w:tc>
            <w:tc>
              <w:tcPr>
                <w:shd w:fill="auto" w:val="clear"/>
                <w:tcMar>
                  <w:top w:w="100.0" w:type="dxa"/>
                  <w:left w:w="100.0" w:type="dxa"/>
                  <w:bottom w:w="100.0" w:type="dxa"/>
                  <w:right w:w="100.0" w:type="dxa"/>
                </w:tcMar>
              </w:tcPr>
              <w:p w:rsidR="00000000" w:rsidDel="00000000" w:rsidP="00000000" w:rsidRDefault="00000000" w:rsidRPr="00000000" w14:paraId="00000141">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a4c2f4" w:val="clear"/>
                <w:tcMar>
                  <w:top w:w="100.0" w:type="dxa"/>
                  <w:left w:w="100.0" w:type="dxa"/>
                  <w:bottom w:w="100.0" w:type="dxa"/>
                  <w:right w:w="100.0" w:type="dxa"/>
                </w:tcMar>
              </w:tcPr>
              <w:p w:rsidR="00000000" w:rsidDel="00000000" w:rsidP="00000000" w:rsidRDefault="00000000" w:rsidRPr="00000000" w14:paraId="00000142">
                <w:pPr>
                  <w:widowControl w:val="0"/>
                  <w:spacing w:after="0" w:line="240"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MARCA</w:t>
                </w:r>
              </w:p>
            </w:tc>
            <w:tc>
              <w:tcPr>
                <w:shd w:fill="auto" w:val="clear"/>
                <w:tcMar>
                  <w:top w:w="100.0" w:type="dxa"/>
                  <w:left w:w="100.0" w:type="dxa"/>
                  <w:bottom w:w="100.0" w:type="dxa"/>
                  <w:right w:w="100.0" w:type="dxa"/>
                </w:tcMar>
              </w:tcPr>
              <w:p w:rsidR="00000000" w:rsidDel="00000000" w:rsidP="00000000" w:rsidRDefault="00000000" w:rsidRPr="00000000" w14:paraId="00000143">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a4c2f4" w:val="clear"/>
                <w:tcMar>
                  <w:top w:w="100.0" w:type="dxa"/>
                  <w:left w:w="100.0" w:type="dxa"/>
                  <w:bottom w:w="100.0" w:type="dxa"/>
                  <w:right w:w="100.0" w:type="dxa"/>
                </w:tcMar>
              </w:tcPr>
              <w:p w:rsidR="00000000" w:rsidDel="00000000" w:rsidP="00000000" w:rsidRDefault="00000000" w:rsidRPr="00000000" w14:paraId="00000144">
                <w:pPr>
                  <w:widowControl w:val="0"/>
                  <w:spacing w:after="0" w:line="240"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MODELO</w:t>
                </w:r>
              </w:p>
            </w:tc>
            <w:tc>
              <w:tcPr>
                <w:shd w:fill="auto" w:val="clear"/>
                <w:tcMar>
                  <w:top w:w="100.0" w:type="dxa"/>
                  <w:left w:w="100.0" w:type="dxa"/>
                  <w:bottom w:w="100.0" w:type="dxa"/>
                  <w:right w:w="100.0" w:type="dxa"/>
                </w:tcMar>
              </w:tcPr>
              <w:p w:rsidR="00000000" w:rsidDel="00000000" w:rsidP="00000000" w:rsidRDefault="00000000" w:rsidRPr="00000000" w14:paraId="00000145">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c9daf8" w:val="clear"/>
                <w:tcMar>
                  <w:top w:w="100.0" w:type="dxa"/>
                  <w:left w:w="100.0" w:type="dxa"/>
                  <w:bottom w:w="100.0" w:type="dxa"/>
                  <w:right w:w="100.0" w:type="dxa"/>
                </w:tcMar>
              </w:tcPr>
              <w:p w:rsidR="00000000" w:rsidDel="00000000" w:rsidP="00000000" w:rsidRDefault="00000000" w:rsidRPr="00000000" w14:paraId="00000146">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Características</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8">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Caudal de fango a tratar</w:t>
                </w:r>
              </w:p>
            </w:tc>
            <w:tc>
              <w:tcPr>
                <w:shd w:fill="auto" w:val="clear"/>
                <w:tcMar>
                  <w:top w:w="100.0" w:type="dxa"/>
                  <w:left w:w="100.0" w:type="dxa"/>
                  <w:bottom w:w="100.0" w:type="dxa"/>
                  <w:right w:w="100.0" w:type="dxa"/>
                </w:tcMar>
              </w:tcPr>
              <w:p w:rsidR="00000000" w:rsidDel="00000000" w:rsidP="00000000" w:rsidRDefault="00000000" w:rsidRPr="00000000" w14:paraId="00000149">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A">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Máximo rendimiento en carga</w:t>
                </w:r>
              </w:p>
            </w:tc>
            <w:tc>
              <w:tcPr>
                <w:shd w:fill="auto" w:val="clear"/>
                <w:tcMar>
                  <w:top w:w="100.0" w:type="dxa"/>
                  <w:left w:w="100.0" w:type="dxa"/>
                  <w:bottom w:w="100.0" w:type="dxa"/>
                  <w:right w:w="100.0" w:type="dxa"/>
                </w:tcMar>
              </w:tcPr>
              <w:p w:rsidR="00000000" w:rsidDel="00000000" w:rsidP="00000000" w:rsidRDefault="00000000" w:rsidRPr="00000000" w14:paraId="0000014B">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C">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Consumo energético mínimo en función de la</w:t>
                </w:r>
              </w:p>
              <w:p w:rsidR="00000000" w:rsidDel="00000000" w:rsidP="00000000" w:rsidRDefault="00000000" w:rsidRPr="00000000" w14:paraId="0000014D">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producción y de la sequedad</w:t>
                </w:r>
              </w:p>
            </w:tc>
            <w:tc>
              <w:tcPr>
                <w:shd w:fill="auto" w:val="clear"/>
                <w:tcMar>
                  <w:top w:w="100.0" w:type="dxa"/>
                  <w:left w:w="100.0" w:type="dxa"/>
                  <w:bottom w:w="100.0" w:type="dxa"/>
                  <w:right w:w="100.0" w:type="dxa"/>
                </w:tcMar>
              </w:tcPr>
              <w:p w:rsidR="00000000" w:rsidDel="00000000" w:rsidP="00000000" w:rsidRDefault="00000000" w:rsidRPr="00000000" w14:paraId="0000014E">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F">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Capacidad de descarga de sólidos</w:t>
                </w:r>
              </w:p>
            </w:tc>
            <w:tc>
              <w:tcPr>
                <w:shd w:fill="auto" w:val="clear"/>
                <w:tcMar>
                  <w:top w:w="100.0" w:type="dxa"/>
                  <w:left w:w="100.0" w:type="dxa"/>
                  <w:bottom w:w="100.0" w:type="dxa"/>
                  <w:right w:w="100.0" w:type="dxa"/>
                </w:tcMar>
              </w:tcPr>
              <w:p w:rsidR="00000000" w:rsidDel="00000000" w:rsidP="00000000" w:rsidRDefault="00000000" w:rsidRPr="00000000" w14:paraId="00000150">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1">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Consumo de polielectrolito</w:t>
                </w:r>
              </w:p>
            </w:tc>
            <w:tc>
              <w:tcPr>
                <w:shd w:fill="auto" w:val="clear"/>
                <w:tcMar>
                  <w:top w:w="100.0" w:type="dxa"/>
                  <w:left w:w="100.0" w:type="dxa"/>
                  <w:bottom w:w="100.0" w:type="dxa"/>
                  <w:right w:w="100.0" w:type="dxa"/>
                </w:tcMar>
              </w:tcPr>
              <w:p w:rsidR="00000000" w:rsidDel="00000000" w:rsidP="00000000" w:rsidRDefault="00000000" w:rsidRPr="00000000" w14:paraId="00000152">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3">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Sequedad en salida</w:t>
                </w:r>
              </w:p>
            </w:tc>
            <w:tc>
              <w:tcPr>
                <w:shd w:fill="auto" w:val="clear"/>
                <w:tcMar>
                  <w:top w:w="100.0" w:type="dxa"/>
                  <w:left w:w="100.0" w:type="dxa"/>
                  <w:bottom w:w="100.0" w:type="dxa"/>
                  <w:right w:w="100.0" w:type="dxa"/>
                </w:tcMar>
              </w:tcPr>
              <w:p w:rsidR="00000000" w:rsidDel="00000000" w:rsidP="00000000" w:rsidRDefault="00000000" w:rsidRPr="00000000" w14:paraId="00000154">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5">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Concentración de escurridos</w:t>
                </w:r>
              </w:p>
            </w:tc>
            <w:tc>
              <w:tcPr>
                <w:shd w:fill="auto" w:val="clear"/>
                <w:tcMar>
                  <w:top w:w="100.0" w:type="dxa"/>
                  <w:left w:w="100.0" w:type="dxa"/>
                  <w:bottom w:w="100.0" w:type="dxa"/>
                  <w:right w:w="100.0" w:type="dxa"/>
                </w:tcMar>
              </w:tcPr>
              <w:p w:rsidR="00000000" w:rsidDel="00000000" w:rsidP="00000000" w:rsidRDefault="00000000" w:rsidRPr="00000000" w14:paraId="00000156">
                <w:pPr>
                  <w:widowControl w:val="0"/>
                  <w:spacing w:after="0" w:line="240" w:lineRule="auto"/>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157">
      <w:pPr>
        <w:spacing w:after="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5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w:t>
      </w:r>
    </w:p>
    <w:p w:rsidR="00000000" w:rsidDel="00000000" w:rsidP="00000000" w:rsidRDefault="00000000" w:rsidRPr="00000000" w14:paraId="0000015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w:t>
      </w:r>
    </w:p>
    <w:p w:rsidR="00000000" w:rsidDel="00000000" w:rsidP="00000000" w:rsidRDefault="00000000" w:rsidRPr="00000000" w14:paraId="0000015B">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C">
      <w:pPr>
        <w:spacing w:after="120" w:line="276" w:lineRule="auto"/>
        <w:ind w:right="-40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w:t>
      </w:r>
    </w:p>
    <w:p w:rsidR="00000000" w:rsidDel="00000000" w:rsidP="00000000" w:rsidRDefault="00000000" w:rsidRPr="00000000" w14:paraId="0000015D">
      <w:pPr>
        <w:spacing w:after="120" w:line="276" w:lineRule="auto"/>
        <w:ind w:right="-40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 – FASE SEGUNDA)</w:t>
      </w:r>
    </w:p>
    <w:p w:rsidR="00000000" w:rsidDel="00000000" w:rsidP="00000000" w:rsidRDefault="00000000" w:rsidRPr="00000000" w14:paraId="0000015E">
      <w:pPr>
        <w:spacing w:after="120" w:line="276" w:lineRule="auto"/>
        <w:ind w:right="-405"/>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5F">
      <w:pPr>
        <w:spacing w:after="120" w:line="276" w:lineRule="auto"/>
        <w:ind w:right="-40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60">
      <w:pPr>
        <w:spacing w:after="240" w:line="276" w:lineRule="auto"/>
        <w:ind w:right="-40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61">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sdt>
      <w:sdtPr>
        <w:lock w:val="contentLocked"/>
        <w:tag w:val="goog_rdk_3"/>
      </w:sdtPr>
      <w:sdtContent>
        <w:tbl>
          <w:tblPr>
            <w:tblStyle w:val="Table8"/>
            <w:tblW w:w="861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0"/>
            <w:gridCol w:w="2610"/>
            <w:tblGridChange w:id="0">
              <w:tblGrid>
                <w:gridCol w:w="6000"/>
                <w:gridCol w:w="26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2">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D.1) Suministro</w:t>
                </w:r>
                <w:r w:rsidDel="00000000" w:rsidR="00000000" w:rsidRPr="00000000">
                  <w:rPr>
                    <w:rtl w:val="0"/>
                  </w:rPr>
                  <w:t xml:space="preserve">     </w:t>
                </w:r>
                <w:r w:rsidDel="00000000" w:rsidR="00000000" w:rsidRPr="00000000">
                  <w:rPr>
                    <w:rFonts w:ascii="Tahoma" w:cs="Tahoma" w:eastAsia="Tahoma" w:hAnsi="Tahoma"/>
                    <w:sz w:val="20"/>
                    <w:szCs w:val="20"/>
                    <w:rtl w:val="0"/>
                  </w:rPr>
                  <w:t xml:space="preserve">, montaje y puesta en marcha</w:t>
                </w:r>
              </w:p>
              <w:p w:rsidR="00000000" w:rsidDel="00000000" w:rsidP="00000000" w:rsidRDefault="00000000" w:rsidRPr="00000000" w14:paraId="00000163">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(Total apartado D.1 del Presupuesto adjuntado)</w:t>
                </w:r>
              </w:p>
            </w:tc>
            <w:tc>
              <w:tcPr>
                <w:shd w:fill="auto" w:val="clear"/>
                <w:tcMar>
                  <w:top w:w="100.0" w:type="dxa"/>
                  <w:left w:w="100.0" w:type="dxa"/>
                  <w:bottom w:w="100.0" w:type="dxa"/>
                  <w:right w:w="100.0" w:type="dxa"/>
                </w:tcMar>
              </w:tcPr>
              <w:p w:rsidR="00000000" w:rsidDel="00000000" w:rsidP="00000000" w:rsidRDefault="00000000" w:rsidRPr="00000000" w14:paraId="00000164">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euros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5">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D.2) Mantenimiento integral CINCO (5) AÑOS</w:t>
                </w:r>
              </w:p>
              <w:p w:rsidR="00000000" w:rsidDel="00000000" w:rsidP="00000000" w:rsidRDefault="00000000" w:rsidRPr="00000000" w14:paraId="00000166">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(Total apartado D.2 del Presupuesto adjuntado)</w:t>
                </w:r>
              </w:p>
            </w:tc>
            <w:tc>
              <w:tcPr>
                <w:shd w:fill="auto" w:val="clear"/>
                <w:tcMar>
                  <w:top w:w="100.0" w:type="dxa"/>
                  <w:left w:w="100.0" w:type="dxa"/>
                  <w:bottom w:w="100.0" w:type="dxa"/>
                  <w:right w:w="100.0" w:type="dxa"/>
                </w:tcMar>
              </w:tcPr>
              <w:p w:rsidR="00000000" w:rsidDel="00000000" w:rsidP="00000000" w:rsidRDefault="00000000" w:rsidRPr="00000000" w14:paraId="00000167">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euros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8">
                <w:pPr>
                  <w:widowControl w:val="0"/>
                  <w:spacing w:after="0" w:line="276" w:lineRule="auto"/>
                  <w:jc w:val="right"/>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Importe total D.1 + D.2</w:t>
                </w:r>
              </w:p>
            </w:tc>
            <w:tc>
              <w:tcPr>
                <w:shd w:fill="auto" w:val="clear"/>
                <w:tcMar>
                  <w:top w:w="100.0" w:type="dxa"/>
                  <w:left w:w="100.0" w:type="dxa"/>
                  <w:bottom w:w="100.0" w:type="dxa"/>
                  <w:right w:w="100.0" w:type="dxa"/>
                </w:tcMar>
              </w:tcPr>
              <w:p w:rsidR="00000000" w:rsidDel="00000000" w:rsidP="00000000" w:rsidRDefault="00000000" w:rsidRPr="00000000" w14:paraId="00000169">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euros</w:t>
                </w:r>
                <w:r w:rsidDel="00000000" w:rsidR="00000000" w:rsidRPr="00000000">
                  <w:rPr>
                    <w:rtl w:val="0"/>
                  </w:rPr>
                </w:r>
              </w:p>
            </w:tc>
          </w:tr>
        </w:tbl>
      </w:sdtContent>
    </w:sdt>
    <w:p w:rsidR="00000000" w:rsidDel="00000000" w:rsidP="00000000" w:rsidRDefault="00000000" w:rsidRPr="00000000" w14:paraId="0000016A">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6C">
      <w:pPr>
        <w:spacing w:after="120" w:line="276" w:lineRule="auto"/>
        <w:ind w:left="-141"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D">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E">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6F">
      <w:pPr>
        <w:spacing w:after="240" w:line="240" w:lineRule="auto"/>
        <w:ind w:right="-409"/>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70">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7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72">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 y D.2) del Cuadro Resumen de Características del presente Pliego.</w:t>
      </w:r>
    </w:p>
    <w:p w:rsidR="00000000" w:rsidDel="00000000" w:rsidP="00000000" w:rsidRDefault="00000000" w:rsidRPr="00000000" w14:paraId="00000173">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74">
      <w:pPr>
        <w:spacing w:after="120" w:line="276" w:lineRule="auto"/>
        <w:ind w:left="-141" w:right="-409" w:firstLine="0"/>
        <w:jc w:val="both"/>
        <w:rPr>
          <w:rFonts w:ascii="Tahoma" w:cs="Tahoma" w:eastAsia="Tahoma" w:hAnsi="Tahoma"/>
          <w:i w:val="1"/>
          <w:color w:val="767171"/>
          <w:sz w:val="18"/>
          <w:szCs w:val="18"/>
        </w:rPr>
      </w:pPr>
      <w:bookmarkStart w:colFirst="0" w:colLast="0" w:name="_heading=h.206ipza" w:id="1"/>
      <w:bookmarkEnd w:id="1"/>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75">
      <w:pPr>
        <w:spacing w:after="120" w:line="276" w:lineRule="auto"/>
        <w:ind w:left="-141" w:right="-409" w:firstLine="0"/>
        <w:jc w:val="both"/>
        <w:rPr>
          <w:rFonts w:ascii="Tahoma" w:cs="Tahoma" w:eastAsia="Tahoma" w:hAnsi="Tahoma"/>
          <w:color w:val="000000"/>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15.6 del Pliego de condiciones Particulares.</w:t>
      </w:r>
      <w:r w:rsidDel="00000000" w:rsidR="00000000" w:rsidRPr="00000000">
        <w:rPr>
          <w:rtl w:val="0"/>
        </w:rPr>
      </w:r>
    </w:p>
    <w:p w:rsidR="00000000" w:rsidDel="00000000" w:rsidP="00000000" w:rsidRDefault="00000000" w:rsidRPr="00000000" w14:paraId="00000176">
      <w:pPr>
        <w:spacing w:after="120" w:line="276" w:lineRule="auto"/>
        <w:ind w:left="-141" w:right="-409" w:firstLine="0"/>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77">
      <w:pPr>
        <w:spacing w:after="120" w:line="276" w:lineRule="auto"/>
        <w:ind w:left="-141" w:right="-409"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7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p5t2d3z90w5u" w:id="2"/>
      <w:bookmarkEnd w:id="2"/>
      <w:r w:rsidDel="00000000" w:rsidR="00000000" w:rsidRPr="00000000">
        <w:br w:type="page"/>
      </w:r>
      <w:r w:rsidDel="00000000" w:rsidR="00000000" w:rsidRPr="00000000">
        <w:rPr>
          <w:rtl w:val="0"/>
        </w:rPr>
      </w:r>
    </w:p>
    <w:p w:rsidR="00000000" w:rsidDel="00000000" w:rsidP="00000000" w:rsidRDefault="00000000" w:rsidRPr="00000000" w14:paraId="0000017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wglu9hjfocxw" w:id="3"/>
      <w:bookmarkEnd w:id="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9</w:t>
      </w:r>
      <w:r w:rsidDel="00000000" w:rsidR="00000000" w:rsidRPr="00000000">
        <w:rPr>
          <w:rtl w:val="0"/>
        </w:rPr>
      </w:r>
    </w:p>
    <w:p w:rsidR="00000000" w:rsidDel="00000000" w:rsidP="00000000" w:rsidRDefault="00000000" w:rsidRPr="00000000" w14:paraId="0000017A">
      <w:pPr>
        <w:spacing w:after="120" w:line="276" w:lineRule="auto"/>
        <w:ind w:right="-40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 – FASE SEGUNDA)</w:t>
      </w:r>
    </w:p>
    <w:p w:rsidR="00000000" w:rsidDel="00000000" w:rsidP="00000000" w:rsidRDefault="00000000" w:rsidRPr="00000000" w14:paraId="0000017B">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PRESUPUESTO</w:t>
      </w:r>
    </w:p>
    <w:p w:rsidR="00000000" w:rsidDel="00000000" w:rsidP="00000000" w:rsidRDefault="00000000" w:rsidRPr="00000000" w14:paraId="0000017C">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7D">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7E">
      <w:pPr>
        <w:spacing w:after="240" w:line="276" w:lineRule="auto"/>
        <w:ind w:right="-409"/>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7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0"/>
          <w:i w:val="1"/>
          <w:smallCaps w:val="0"/>
          <w:strike w:val="0"/>
          <w:color w:val="ff0000"/>
          <w:sz w:val="20"/>
          <w:szCs w:val="20"/>
          <w:u w:val="none"/>
          <w:shd w:fill="auto" w:val="clear"/>
          <w:vertAlign w:val="baseline"/>
        </w:rPr>
      </w:pPr>
      <w:bookmarkStart w:colFirst="0" w:colLast="0" w:name="_heading=h.qijj50ssm6qc" w:id="4"/>
      <w:bookmarkEnd w:id="4"/>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80">
      <w:pPr>
        <w:ind w:right="-409"/>
        <w:rPr>
          <w:rFonts w:ascii="Tahoma" w:cs="Tahoma" w:eastAsia="Tahoma" w:hAnsi="Tahoma"/>
        </w:rPr>
      </w:pPr>
      <w:r w:rsidDel="00000000" w:rsidR="00000000" w:rsidRPr="00000000">
        <w:rPr>
          <w:rtl w:val="0"/>
        </w:rPr>
      </w:r>
    </w:p>
    <w:p w:rsidR="00000000" w:rsidDel="00000000" w:rsidP="00000000" w:rsidRDefault="00000000" w:rsidRPr="00000000" w14:paraId="0000018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cm93wbdf2sm" w:id="5"/>
      <w:bookmarkEnd w:id="5"/>
      <w:r w:rsidDel="00000000" w:rsidR="00000000" w:rsidRPr="00000000">
        <w:br w:type="page"/>
      </w:r>
      <w:r w:rsidDel="00000000" w:rsidR="00000000" w:rsidRPr="00000000">
        <w:rPr>
          <w:rtl w:val="0"/>
        </w:rPr>
      </w:r>
    </w:p>
    <w:p w:rsidR="00000000" w:rsidDel="00000000" w:rsidP="00000000" w:rsidRDefault="00000000" w:rsidRPr="00000000" w14:paraId="0000018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ebymnifuvjj3" w:id="6"/>
      <w:bookmarkEnd w:id="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10</w:t>
      </w:r>
      <w:r w:rsidDel="00000000" w:rsidR="00000000" w:rsidRPr="00000000">
        <w:rPr>
          <w:rtl w:val="0"/>
        </w:rPr>
      </w:r>
    </w:p>
    <w:p w:rsidR="00000000" w:rsidDel="00000000" w:rsidP="00000000" w:rsidRDefault="00000000" w:rsidRPr="00000000" w14:paraId="00000183">
      <w:pPr>
        <w:spacing w:after="120" w:line="276" w:lineRule="auto"/>
        <w:ind w:right="-40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 – FASE SEGUNDA)</w:t>
      </w:r>
    </w:p>
    <w:p w:rsidR="00000000" w:rsidDel="00000000" w:rsidP="00000000" w:rsidRDefault="00000000" w:rsidRPr="00000000" w14:paraId="00000184">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MÁXIMO DE EJECUCIÓN</w:t>
      </w:r>
    </w:p>
    <w:p w:rsidR="00000000" w:rsidDel="00000000" w:rsidP="00000000" w:rsidRDefault="00000000" w:rsidRPr="00000000" w14:paraId="00000185">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86">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8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188">
      <w:pPr>
        <w:numPr>
          <w:ilvl w:val="0"/>
          <w:numId w:val="1"/>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máximo de ejecución de las prestaciones: </w:t>
      </w:r>
      <w:r w:rsidDel="00000000" w:rsidR="00000000" w:rsidRPr="00000000">
        <w:rPr>
          <w:rFonts w:ascii="Tahoma" w:cs="Tahoma" w:eastAsia="Tahoma" w:hAnsi="Tahoma"/>
          <w:b w:val="1"/>
          <w:sz w:val="20"/>
          <w:szCs w:val="20"/>
          <w:rtl w:val="0"/>
        </w:rPr>
        <w:t xml:space="preserve">[·] SEMANAS</w:t>
      </w:r>
      <w:r w:rsidDel="00000000" w:rsidR="00000000" w:rsidRPr="00000000">
        <w:rPr>
          <w:rFonts w:ascii="Tahoma" w:cs="Tahoma" w:eastAsia="Tahoma" w:hAnsi="Tahoma"/>
          <w:sz w:val="20"/>
          <w:szCs w:val="20"/>
          <w:rtl w:val="0"/>
        </w:rPr>
        <w:t xml:space="preserve"> a contar desde el día siguiente a la formalización del Contrato.</w:t>
      </w:r>
    </w:p>
    <w:p w:rsidR="00000000" w:rsidDel="00000000" w:rsidP="00000000" w:rsidRDefault="00000000" w:rsidRPr="00000000" w14:paraId="00000189">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A">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B">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8C">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8D">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E">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8F">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90">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E.1) del Cuadro-Resumen de Características y determinado en el Pliego de Prescripciones Técnicas (PPT).</w:t>
      </w:r>
    </w:p>
    <w:p w:rsidR="00000000" w:rsidDel="00000000" w:rsidP="00000000" w:rsidRDefault="00000000" w:rsidRPr="00000000" w14:paraId="0000019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92">
      <w:pPr>
        <w:spacing w:after="120" w:line="240"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ejecución propuesto se entenderá ofertado como </w:t>
      </w:r>
      <w:r w:rsidDel="00000000" w:rsidR="00000000" w:rsidRPr="00000000">
        <w:rPr>
          <w:rFonts w:ascii="Tahoma" w:cs="Tahoma" w:eastAsia="Tahoma" w:hAnsi="Tahoma"/>
          <w:i w:val="1"/>
          <w:color w:val="767171"/>
          <w:sz w:val="18"/>
          <w:szCs w:val="18"/>
          <w:u w:val="single"/>
          <w:rtl w:val="0"/>
        </w:rPr>
        <w:t xml:space="preserve">semanas</w:t>
      </w:r>
      <w:r w:rsidDel="00000000" w:rsidR="00000000" w:rsidRPr="00000000">
        <w:rPr>
          <w:rFonts w:ascii="Tahoma" w:cs="Tahoma" w:eastAsia="Tahoma" w:hAnsi="Tahoma"/>
          <w:i w:val="1"/>
          <w:color w:val="767171"/>
          <w:sz w:val="18"/>
          <w:szCs w:val="18"/>
          <w:rtl w:val="0"/>
        </w:rPr>
        <w:t xml:space="preserve">. Por lo tanto, a la vista del plazo total de ejecución ofrecido, la reducción de plazo que resulte se considerará que se efectúa por semanas enteras</w:t>
      </w:r>
      <w:r w:rsidDel="00000000" w:rsidR="00000000" w:rsidRPr="00000000">
        <w:rPr>
          <w:rFonts w:ascii="Tahoma" w:cs="Tahoma" w:eastAsia="Tahoma" w:hAnsi="Tahoma"/>
          <w:b w:val="1"/>
          <w:i w:val="1"/>
          <w:color w:val="ff0000"/>
          <w:sz w:val="18"/>
          <w:szCs w:val="18"/>
          <w:rtl w:val="0"/>
        </w:rPr>
        <w:t xml:space="preserve"> </w:t>
      </w:r>
      <w:r w:rsidDel="00000000" w:rsidR="00000000" w:rsidRPr="00000000">
        <w:rPr>
          <w:rFonts w:ascii="Tahoma" w:cs="Tahoma" w:eastAsia="Tahoma" w:hAnsi="Tahoma"/>
          <w:b w:val="1"/>
          <w:i w:val="1"/>
          <w:color w:val="767171"/>
          <w:sz w:val="18"/>
          <w:szCs w:val="18"/>
          <w:rtl w:val="0"/>
        </w:rPr>
        <w:t xml:space="preserve">respecto del plazo máximo de ejecución</w:t>
      </w:r>
      <w:r w:rsidDel="00000000" w:rsidR="00000000" w:rsidRPr="00000000">
        <w:rPr>
          <w:rFonts w:ascii="Tahoma" w:cs="Tahoma" w:eastAsia="Tahoma" w:hAnsi="Tahoma"/>
          <w:i w:val="1"/>
          <w:color w:val="767171"/>
          <w:sz w:val="18"/>
          <w:szCs w:val="18"/>
          <w:rtl w:val="0"/>
        </w:rPr>
        <w:t xml:space="preserve"> indicado a la letra E.1) del Cuadro-Resumen de Características y determinado en el Pliego de Prescripciones Técnicas (PPT). Concretamente, se considerará únicamente la reducción del plazo respecto al plazo total de ejecución.</w:t>
      </w:r>
    </w:p>
    <w:p w:rsidR="00000000" w:rsidDel="00000000" w:rsidP="00000000" w:rsidRDefault="00000000" w:rsidRPr="00000000" w14:paraId="00000193">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u w:val="single"/>
          <w:rtl w:val="0"/>
        </w:rPr>
        <w:t xml:space="preserve">El máximo de semanas que se podrá reducir el plazo máximo indicado es de CINCO (5) semanas.</w:t>
      </w:r>
      <w:r w:rsidDel="00000000" w:rsidR="00000000" w:rsidRPr="00000000">
        <w:rPr>
          <w:rFonts w:ascii="Tahoma" w:cs="Tahoma" w:eastAsia="Tahoma" w:hAnsi="Tahoma"/>
          <w:i w:val="1"/>
          <w:color w:val="767171"/>
          <w:sz w:val="18"/>
          <w:szCs w:val="18"/>
          <w:rtl w:val="0"/>
        </w:rPr>
        <w:t xml:space="preserve"> En caso de ofertar una reducción superior a CINCO (5) semanas. se entenderá, a efectos de valoración de la oferta, que lo es para el máximo, esto es, los CINCO  (5) semanas.</w:t>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9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9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dxvinr31352" w:id="7"/>
      <w:bookmarkEnd w:id="7"/>
      <w:r w:rsidDel="00000000" w:rsidR="00000000" w:rsidRPr="00000000">
        <w:rPr>
          <w:rtl w:val="0"/>
        </w:rPr>
      </w:r>
    </w:p>
    <w:p w:rsidR="00000000" w:rsidDel="00000000" w:rsidP="00000000" w:rsidRDefault="00000000" w:rsidRPr="00000000" w14:paraId="0000019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j1redubpx9vy" w:id="8"/>
      <w:bookmarkEnd w:id="8"/>
      <w:r w:rsidDel="00000000" w:rsidR="00000000" w:rsidRPr="00000000">
        <w:br w:type="page"/>
      </w:r>
      <w:r w:rsidDel="00000000" w:rsidR="00000000" w:rsidRPr="00000000">
        <w:rPr>
          <w:rtl w:val="0"/>
        </w:rPr>
      </w:r>
    </w:p>
    <w:p w:rsidR="00000000" w:rsidDel="00000000" w:rsidP="00000000" w:rsidRDefault="00000000" w:rsidRPr="00000000" w14:paraId="0000019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rl3yy05qcwh9" w:id="9"/>
      <w:bookmarkEnd w:id="9"/>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11</w:t>
      </w:r>
      <w:r w:rsidDel="00000000" w:rsidR="00000000" w:rsidRPr="00000000">
        <w:rPr>
          <w:rtl w:val="0"/>
        </w:rPr>
      </w:r>
    </w:p>
    <w:p w:rsidR="00000000" w:rsidDel="00000000" w:rsidP="00000000" w:rsidRDefault="00000000" w:rsidRPr="00000000" w14:paraId="00000199">
      <w:pPr>
        <w:spacing w:after="120" w:line="276" w:lineRule="auto"/>
        <w:ind w:right="-40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 – FASE SEGUNDA)</w:t>
      </w:r>
    </w:p>
    <w:p w:rsidR="00000000" w:rsidDel="00000000" w:rsidP="00000000" w:rsidRDefault="00000000" w:rsidRPr="00000000" w14:paraId="0000019A">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ASPECTOS DE SOSTENIBILIDAD</w:t>
      </w:r>
    </w:p>
    <w:p w:rsidR="00000000" w:rsidDel="00000000" w:rsidP="00000000" w:rsidRDefault="00000000" w:rsidRPr="00000000" w14:paraId="0000019B">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9C">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9D">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p>
    <w:p w:rsidR="00000000" w:rsidDel="00000000" w:rsidP="00000000" w:rsidRDefault="00000000" w:rsidRPr="00000000" w14:paraId="0000019E">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medioambientales (huella de carbono):</w:t>
      </w:r>
    </w:p>
    <w:p w:rsidR="00000000" w:rsidDel="00000000" w:rsidP="00000000" w:rsidRDefault="00000000" w:rsidRPr="00000000" w14:paraId="0000019F">
      <w:pPr>
        <w:spacing w:after="0" w:line="240" w:lineRule="auto"/>
        <w:jc w:val="both"/>
        <w:rPr>
          <w:rFonts w:ascii="Tahoma" w:cs="Tahoma" w:eastAsia="Tahoma" w:hAnsi="Tahoma"/>
          <w:b w:val="1"/>
          <w:sz w:val="14"/>
          <w:szCs w:val="14"/>
        </w:rPr>
      </w:pPr>
      <w:r w:rsidDel="00000000" w:rsidR="00000000" w:rsidRPr="00000000">
        <w:rPr>
          <w:rtl w:val="0"/>
        </w:rPr>
      </w:r>
    </w:p>
    <w:tbl>
      <w:tblPr>
        <w:tblStyle w:val="Table9"/>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1A0">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 del presente Pliego.</w:t>
            </w:r>
          </w:p>
        </w:tc>
        <w:tc>
          <w:tcPr>
            <w:vAlign w:val="center"/>
          </w:tcPr>
          <w:p w:rsidR="00000000" w:rsidDel="00000000" w:rsidP="00000000" w:rsidRDefault="00000000" w:rsidRPr="00000000" w14:paraId="000001A1">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bl>
    <w:p w:rsidR="00000000" w:rsidDel="00000000" w:rsidP="00000000" w:rsidRDefault="00000000" w:rsidRPr="00000000" w14:paraId="000001A2">
      <w:pPr>
        <w:spacing w:after="0" w:line="240" w:lineRule="auto"/>
        <w:ind w:left="156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3">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A4">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A5">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6">
      <w:pPr>
        <w:pBdr>
          <w:bottom w:color="a6a6a6" w:space="1" w:sz="4" w:val="single"/>
        </w:pBdr>
        <w:spacing w:after="120" w:line="276" w:lineRule="auto"/>
        <w:ind w:left="-141" w:right="-409"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A7">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 </w:t>
      </w:r>
    </w:p>
    <w:p w:rsidR="00000000" w:rsidDel="00000000" w:rsidP="00000000" w:rsidRDefault="00000000" w:rsidRPr="00000000" w14:paraId="000001A8">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 la mencionada mejora (C.3), deberá aportarse el presente Anexo debidamente cumplimentado, indicando la opción que corresponda y habiéndose de respetar en todo caso el contenido íntegro del mismo.</w:t>
      </w:r>
    </w:p>
    <w:p w:rsidR="00000000" w:rsidDel="00000000" w:rsidP="00000000" w:rsidRDefault="00000000" w:rsidRPr="00000000" w14:paraId="000001A9">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A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br7y4f5a16op" w:id="10"/>
      <w:bookmarkEnd w:id="10"/>
      <w:r w:rsidDel="00000000" w:rsidR="00000000" w:rsidRPr="00000000">
        <w:rPr>
          <w:rtl w:val="0"/>
        </w:rPr>
      </w:r>
    </w:p>
    <w:p w:rsidR="00000000" w:rsidDel="00000000" w:rsidP="00000000" w:rsidRDefault="00000000" w:rsidRPr="00000000" w14:paraId="000001A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23ju2ov191sn" w:id="11"/>
      <w:bookmarkEnd w:id="11"/>
      <w:r w:rsidDel="00000000" w:rsidR="00000000" w:rsidRPr="00000000">
        <w:rPr>
          <w:rtl w:val="0"/>
        </w:rPr>
      </w:r>
    </w:p>
    <w:p w:rsidR="00000000" w:rsidDel="00000000" w:rsidP="00000000" w:rsidRDefault="00000000" w:rsidRPr="00000000" w14:paraId="000001A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f4od1vn2c0m" w:id="12"/>
      <w:bookmarkEnd w:id="12"/>
      <w:r w:rsidDel="00000000" w:rsidR="00000000" w:rsidRPr="00000000">
        <w:rPr>
          <w:rtl w:val="0"/>
        </w:rPr>
      </w:r>
    </w:p>
    <w:p w:rsidR="00000000" w:rsidDel="00000000" w:rsidP="00000000" w:rsidRDefault="00000000" w:rsidRPr="00000000" w14:paraId="000001A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ho5bfi3mhvf2" w:id="13"/>
      <w:bookmarkEnd w:id="13"/>
      <w:r w:rsidDel="00000000" w:rsidR="00000000" w:rsidRPr="00000000">
        <w:rPr>
          <w:rtl w:val="0"/>
        </w:rPr>
      </w:r>
    </w:p>
    <w:p w:rsidR="00000000" w:rsidDel="00000000" w:rsidP="00000000" w:rsidRDefault="00000000" w:rsidRPr="00000000" w14:paraId="000001A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left"/>
        <w:rPr>
          <w:rFonts w:ascii="Calibri" w:cs="Calibri" w:eastAsia="Calibri" w:hAnsi="Calibri"/>
          <w:b w:val="0"/>
          <w:i w:val="0"/>
          <w:smallCaps w:val="0"/>
          <w:strike w:val="0"/>
          <w:color w:val="2f5496"/>
          <w:sz w:val="22"/>
          <w:szCs w:val="22"/>
          <w:u w:val="none"/>
          <w:shd w:fill="auto" w:val="clear"/>
          <w:vertAlign w:val="baseline"/>
        </w:rPr>
      </w:pPr>
      <w:bookmarkStart w:colFirst="0" w:colLast="0" w:name="_heading=h.pjp3qclbaplj" w:id="14"/>
      <w:bookmarkEnd w:id="14"/>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12.2</w:t>
      </w:r>
      <w:r w:rsidDel="00000000" w:rsidR="00000000" w:rsidRPr="00000000">
        <w:rPr>
          <w:rtl w:val="0"/>
        </w:rPr>
      </w:r>
    </w:p>
    <w:p w:rsidR="00000000" w:rsidDel="00000000" w:rsidP="00000000" w:rsidRDefault="00000000" w:rsidRPr="00000000" w14:paraId="000001B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w:t>
      </w:r>
    </w:p>
    <w:p w:rsidR="00000000" w:rsidDel="00000000" w:rsidP="00000000" w:rsidRDefault="00000000" w:rsidRPr="00000000" w14:paraId="000001B7">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1B8">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1B9">
      <w:pPr>
        <w:spacing w:after="120" w:line="276" w:lineRule="auto"/>
        <w:ind w:left="-135" w:right="-409" w:firstLine="0"/>
        <w:jc w:val="both"/>
        <w:rPr>
          <w:rFonts w:ascii="Tahoma" w:cs="Tahoma" w:eastAsia="Tahoma" w:hAnsi="Tahoma"/>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sz w:val="20"/>
          <w:szCs w:val="20"/>
          <w:rtl w:val="0"/>
        </w:rPr>
        <w:t xml:space="preserve">son los siguientes:</w:t>
      </w:r>
      <w:r w:rsidDel="00000000" w:rsidR="00000000" w:rsidRPr="00000000">
        <w:rPr>
          <w:rtl w:val="0"/>
        </w:rPr>
      </w:r>
    </w:p>
    <w:sdt>
      <w:sdtPr>
        <w:lock w:val="contentLocked"/>
        <w:tag w:val="goog_rdk_4"/>
      </w:sdtPr>
      <w:sdtContent>
        <w:tbl>
          <w:tblPr>
            <w:tblStyle w:val="Table10"/>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A">
                <w:pPr>
                  <w:widowControl w:val="0"/>
                  <w:spacing w:after="0" w:line="240" w:lineRule="auto"/>
                  <w:ind w:right="-409"/>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B">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C">
                <w:pPr>
                  <w:widowControl w:val="0"/>
                  <w:spacing w:after="0" w:line="240" w:lineRule="auto"/>
                  <w:ind w:right="46"/>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D">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E">
                <w:pPr>
                  <w:widowControl w:val="0"/>
                  <w:spacing w:after="0" w:line="240" w:lineRule="auto"/>
                  <w:ind w:left="212" w:right="50"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“Características técnicas del diseño de las centrífugas”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F">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0">
                <w:pPr>
                  <w:widowControl w:val="0"/>
                  <w:spacing w:after="0" w:line="240" w:lineRule="auto"/>
                  <w:ind w:left="212" w:right="50"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1">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2">
                <w:pPr>
                  <w:widowControl w:val="0"/>
                  <w:spacing w:after="0" w:line="240" w:lineRule="auto"/>
                  <w:ind w:left="212" w:right="50"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B.3)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 la gestión de los residuos generados durante la actuación”</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3">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4">
                <w:pPr>
                  <w:widowControl w:val="0"/>
                  <w:spacing w:after="0" w:line="240" w:lineRule="auto"/>
                  <w:ind w:left="212" w:right="50"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B.4)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del servicio de mantenimiento integral”</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5">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6">
                <w:pPr>
                  <w:widowControl w:val="0"/>
                  <w:spacing w:after="0" w:line="240"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7">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85,00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8">
                <w:pPr>
                  <w:widowControl w:val="0"/>
                  <w:spacing w:after="0" w:line="240" w:lineRule="auto"/>
                  <w:ind w:left="141" w:right="-409"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9">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A">
                <w:pPr>
                  <w:widowControl w:val="0"/>
                  <w:spacing w:after="0" w:line="240" w:lineRule="auto"/>
                  <w:ind w:left="141" w:right="-409"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B">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7,50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CC">
                <w:pPr>
                  <w:widowControl w:val="0"/>
                  <w:spacing w:after="0" w:line="240" w:lineRule="auto"/>
                  <w:ind w:left="141" w:right="-409"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C.3)</w:t>
                </w:r>
                <w:r w:rsidDel="00000000" w:rsidR="00000000" w:rsidRPr="00000000">
                  <w:rPr>
                    <w:rFonts w:ascii="Tahoma" w:cs="Tahoma" w:eastAsia="Tahoma" w:hAnsi="Tahoma"/>
                    <w:b w:val="1"/>
                    <w:i w:val="1"/>
                    <w:sz w:val="18"/>
                    <w:szCs w:val="18"/>
                    <w:rtl w:val="0"/>
                  </w:rPr>
                  <w:t xml:space="preserve"> (Mejora Opcional) </w:t>
                </w:r>
                <w:r w:rsidDel="00000000" w:rsidR="00000000" w:rsidRPr="00000000">
                  <w:rPr>
                    <w:rFonts w:ascii="Tahoma" w:cs="Tahoma" w:eastAsia="Tahoma" w:hAnsi="Tahoma"/>
                    <w:b w:val="1"/>
                    <w:sz w:val="18"/>
                    <w:szCs w:val="18"/>
                    <w:rtl w:val="0"/>
                  </w:rPr>
                  <w:t xml:space="preserve">“Aspectos medioambientales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D">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2,50</w:t>
                </w:r>
              </w:p>
            </w:tc>
          </w:tr>
        </w:tbl>
      </w:sdtContent>
    </w:sdt>
    <w:p w:rsidR="00000000" w:rsidDel="00000000" w:rsidP="00000000" w:rsidRDefault="00000000" w:rsidRPr="00000000" w14:paraId="000001CE">
      <w:pPr>
        <w:spacing w:after="120" w:before="240" w:line="276" w:lineRule="auto"/>
        <w:ind w:left="-141" w:right="-409"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15 puntos, desglosados de la siguiente manera:</w:t>
      </w:r>
    </w:p>
    <w:p w:rsidR="00000000" w:rsidDel="00000000" w:rsidP="00000000" w:rsidRDefault="00000000" w:rsidRPr="00000000" w14:paraId="000001CF">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“Características técnicas del diseño de las centrífugas”: hasta 8 puntos.</w:t>
      </w:r>
    </w:p>
    <w:p w:rsidR="00000000" w:rsidDel="00000000" w:rsidP="00000000" w:rsidRDefault="00000000" w:rsidRPr="00000000" w14:paraId="000001D0">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del diseño de las centrífugas a suministrar, cuyo contenido ha de cumplir con lo descrito en el apartado B.1) de la cláusula 10 del presente Pliego, se valorará de forma comparativa entre todas las ofertas presentadas, valorándose entre otros aspectos, el diseño constructivo, la funcionalidad y la eficiencia operativa de cada propuesta.</w:t>
      </w:r>
    </w:p>
    <w:p w:rsidR="00000000" w:rsidDel="00000000" w:rsidP="00000000" w:rsidRDefault="00000000" w:rsidRPr="00000000" w14:paraId="000001D1">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unas características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D2">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3">
      <w:pPr>
        <w:spacing w:after="24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D4">
      <w:pPr>
        <w:spacing w:after="120" w:line="276" w:lineRule="auto"/>
        <w:ind w:left="-140" w:right="-400"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3 puntos.</w:t>
      </w:r>
    </w:p>
    <w:p w:rsidR="00000000" w:rsidDel="00000000" w:rsidP="00000000" w:rsidRDefault="00000000" w:rsidRPr="00000000" w14:paraId="000001D5">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ha de cumplir con lo descrito en el apartado B.2) de la cláusula 10 del presente Pliego, se valorará de forma comparativa entre todas las ofertas presentadas, valorándose entre otros aspectos, la exhaustividad y la particularización, el detalle de la planificación de los trabajos y los plazos de entrega con el objetivo de no afectar al medio, así como los medios humanos y técnicos empleados para llevar a cabo estas tareas, así como el grado de detalle y coherencia de cada propuesta. Todo esto en relación con los trabajos a realizar que se detallan en el PPT.</w:t>
      </w:r>
    </w:p>
    <w:p w:rsidR="00000000" w:rsidDel="00000000" w:rsidP="00000000" w:rsidRDefault="00000000" w:rsidRPr="00000000" w14:paraId="000001D6">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descripción técnica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D7">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8">
      <w:pPr>
        <w:spacing w:after="24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D9">
      <w:pPr>
        <w:spacing w:after="120" w:line="276" w:lineRule="auto"/>
        <w:ind w:left="-140" w:right="-400"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 la gestión de los residuos generados durante la actuación”: hasta 2 puntos.</w:t>
      </w:r>
    </w:p>
    <w:p w:rsidR="00000000" w:rsidDel="00000000" w:rsidP="00000000" w:rsidRDefault="00000000" w:rsidRPr="00000000" w14:paraId="000001DA">
      <w:pPr>
        <w:spacing w:after="120" w:line="276" w:lineRule="auto"/>
        <w:ind w:left="-140" w:right="-400" w:firstLine="0"/>
        <w:jc w:val="both"/>
        <w:rPr>
          <w:rFonts w:ascii="Tahoma" w:cs="Tahoma" w:eastAsia="Tahoma" w:hAnsi="Tahoma"/>
          <w:sz w:val="20"/>
          <w:szCs w:val="20"/>
          <w:highlight w:val="yellow"/>
        </w:rPr>
      </w:pPr>
      <w:r w:rsidDel="00000000" w:rsidR="00000000" w:rsidRPr="00000000">
        <w:rPr>
          <w:rFonts w:ascii="Tahoma" w:cs="Tahoma" w:eastAsia="Tahoma" w:hAnsi="Tahoma"/>
          <w:sz w:val="20"/>
          <w:szCs w:val="20"/>
          <w:rtl w:val="0"/>
        </w:rPr>
        <w:t xml:space="preserve">El documento de propuesta de gestión de residuos específico para estos trabajos, cuyo contenido debe cumplir con lo que se indica en el apartado B.3) de la cláusula 10 del presente Pliego,se valorará de forma comparativa entre todas las ofertas presentadas, la propuesta más adecuada, valorándose entre otros aspectos, las propuestas en materia de minimización de residuos, reutilización de materiales, reciclaje de residuos y minimización de consumos de materiales. Todo ello en relación con los trabajos a realizar que se detallan en el PPT.</w:t>
      </w:r>
      <w:r w:rsidDel="00000000" w:rsidR="00000000" w:rsidRPr="00000000">
        <w:rPr>
          <w:rtl w:val="0"/>
        </w:rPr>
      </w:r>
    </w:p>
    <w:p w:rsidR="00000000" w:rsidDel="00000000" w:rsidP="00000000" w:rsidRDefault="00000000" w:rsidRPr="00000000" w14:paraId="000001D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propuesta de gestión de residuos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DC">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D">
      <w:pPr>
        <w:spacing w:after="24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DE">
      <w:pPr>
        <w:spacing w:after="120" w:line="276" w:lineRule="auto"/>
        <w:ind w:left="-140" w:right="-400"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del servicio de mantenimiento integral”: hasta 2 puntos.</w:t>
      </w:r>
    </w:p>
    <w:p w:rsidR="00000000" w:rsidDel="00000000" w:rsidP="00000000" w:rsidRDefault="00000000" w:rsidRPr="00000000" w14:paraId="000001DF">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del servicio de mantenimiento integral a realizar, cuyo contenido debe cumplir con lo que se indica en el apartado B.4) de la cláusula 10 del presente Pliego, se valorará de forma comparativa entre todas las ofertas presentadas, valorándose entre otros aspectos, la exhaustividad y la particularización, el detalle de la planificación de los trabajos del plan de mantenimiento, así como el grado de detalle y coherencia de cada propuesta. Todo esto en relación con los trabajos a realizar que se detallan en el PPT.</w:t>
      </w:r>
    </w:p>
    <w:p w:rsidR="00000000" w:rsidDel="00000000" w:rsidP="00000000" w:rsidRDefault="00000000" w:rsidRPr="00000000" w14:paraId="000001E0">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descripción del servicio de mantenimiento integral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E1">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E2">
      <w:pPr>
        <w:spacing w:after="24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E3">
      <w:pPr>
        <w:spacing w:after="120" w:before="240" w:line="276" w:lineRule="auto"/>
        <w:ind w:left="-141" w:right="-409" w:firstLine="0"/>
        <w:jc w:val="both"/>
        <w:rPr>
          <w:rFonts w:ascii="Tahoma" w:cs="Tahoma" w:eastAsia="Tahoma" w:hAnsi="Tahoma"/>
          <w:b w:val="1"/>
          <w:color w:val="000000"/>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85 puntos, desglosados de la siguiente manera:</w:t>
      </w:r>
      <w:r w:rsidDel="00000000" w:rsidR="00000000" w:rsidRPr="00000000">
        <w:rPr>
          <w:rtl w:val="0"/>
        </w:rPr>
      </w:r>
    </w:p>
    <w:p w:rsidR="00000000" w:rsidDel="00000000" w:rsidP="00000000" w:rsidRDefault="00000000" w:rsidRPr="00000000" w14:paraId="000001E4">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75 puntos.</w:t>
      </w:r>
    </w:p>
    <w:p w:rsidR="00000000" w:rsidDel="00000000" w:rsidP="00000000" w:rsidRDefault="00000000" w:rsidRPr="00000000" w14:paraId="000001E5">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1E6">
      <w:pPr>
        <w:spacing w:after="120" w:line="276" w:lineRule="auto"/>
        <w:ind w:left="-141" w:right="-409" w:firstLine="0"/>
        <w:jc w:val="center"/>
        <w:rPr>
          <w:rFonts w:ascii="Tahoma" w:cs="Tahoma" w:eastAsia="Tahoma" w:hAnsi="Tahoma"/>
          <w:sz w:val="20"/>
          <w:szCs w:val="20"/>
        </w:rPr>
      </w:pPr>
      <m:oMath>
        <m:r>
          <w:rPr>
            <w:rFonts w:ascii="Tahoma" w:cs="Tahoma" w:eastAsia="Tahoma" w:hAnsi="Tahoma"/>
            <w:sz w:val="20"/>
            <w:szCs w:val="20"/>
          </w:rPr>
          <m:t xml:space="preserve">Puntuación económica=75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1E7">
      <w:pPr>
        <w:spacing w:after="120" w:line="276" w:lineRule="auto"/>
        <w:ind w:left="-141" w:right="-409"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E9">
      <w:pPr>
        <w:numPr>
          <w:ilvl w:val="0"/>
          <w:numId w:val="5"/>
        </w:numPr>
        <w:spacing w:after="120" w:line="276" w:lineRule="auto"/>
        <w:ind w:left="56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EA">
      <w:pPr>
        <w:numPr>
          <w:ilvl w:val="0"/>
          <w:numId w:val="5"/>
        </w:numPr>
        <w:spacing w:after="120" w:line="276" w:lineRule="auto"/>
        <w:ind w:left="56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E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C">
      <w:pPr>
        <w:numPr>
          <w:ilvl w:val="0"/>
          <w:numId w:val="9"/>
        </w:numPr>
        <w:spacing w:after="120" w:line="276" w:lineRule="auto"/>
        <w:ind w:left="283" w:right="-409"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w:t>
      </w:r>
      <w:r w:rsidDel="00000000" w:rsidR="00000000" w:rsidRPr="00000000">
        <w:rPr>
          <w:rFonts w:ascii="Tahoma" w:cs="Tahoma" w:eastAsia="Tahoma" w:hAnsi="Tahoma"/>
          <w:sz w:val="20"/>
          <w:szCs w:val="20"/>
          <w:rtl w:val="0"/>
        </w:rPr>
        <w:t xml:space="preserve">(IVA no incluido) contiene valores presuntamente anormales o desproporcionados cuando equivalga a una baja superior al 15,00 % de la media aritmética de las ofertas admitidas.</w:t>
      </w:r>
      <w:r w:rsidDel="00000000" w:rsidR="00000000" w:rsidRPr="00000000">
        <w:rPr>
          <w:rtl w:val="0"/>
        </w:rPr>
      </w:r>
    </w:p>
    <w:p w:rsidR="00000000" w:rsidDel="00000000" w:rsidP="00000000" w:rsidRDefault="00000000" w:rsidRPr="00000000" w14:paraId="000001ED">
      <w:pPr>
        <w:numPr>
          <w:ilvl w:val="0"/>
          <w:numId w:val="6"/>
        </w:numPr>
        <w:spacing w:after="240" w:line="276" w:lineRule="auto"/>
        <w:ind w:left="283" w:right="-409"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EE">
      <w:pPr>
        <w:spacing w:after="240" w:line="276" w:lineRule="auto"/>
        <w:ind w:left="1440"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F">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Plazo máximo de ejecución: hasta 7,5 puntos.</w:t>
      </w:r>
    </w:p>
    <w:p w:rsidR="00000000" w:rsidDel="00000000" w:rsidP="00000000" w:rsidRDefault="00000000" w:rsidRPr="00000000" w14:paraId="000001F0">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máximo de ejecución será valorado de acuerdo con la siguiente fórmula:</w:t>
      </w:r>
    </w:p>
    <w:p w:rsidR="00000000" w:rsidDel="00000000" w:rsidP="00000000" w:rsidRDefault="00000000" w:rsidRPr="00000000" w14:paraId="000001F1">
      <w:pPr>
        <w:jc w:val="center"/>
        <w:rPr>
          <w:rFonts w:ascii="Tahoma" w:cs="Tahoma" w:eastAsia="Tahoma" w:hAnsi="Tahoma"/>
          <w:color w:val="000000"/>
          <w:sz w:val="20"/>
          <w:szCs w:val="20"/>
        </w:rPr>
      </w:pPr>
      <w:bookmarkStart w:colFirst="0" w:colLast="0" w:name="_heading=h.jzvrvysjijbk" w:id="15"/>
      <w:bookmarkEnd w:id="15"/>
      <m:oMath>
        <m:r>
          <w:rPr>
            <w:rFonts w:ascii="Tahoma" w:cs="Tahoma" w:eastAsia="Tahoma" w:hAnsi="Tahoma"/>
            <w:color w:val="000000"/>
            <w:sz w:val="20"/>
            <w:szCs w:val="20"/>
          </w:rPr>
          <m:t xml:space="preserve">Puntuación=7,5 x </m:t>
        </m:r>
        <m:f>
          <m:fPr>
            <m:ctrlPr>
              <w:rPr>
                <w:rFonts w:ascii="Tahoma" w:cs="Tahoma" w:eastAsia="Tahoma" w:hAnsi="Tahoma"/>
                <w:color w:val="000000"/>
                <w:sz w:val="20"/>
                <w:szCs w:val="20"/>
              </w:rPr>
            </m:ctrlPr>
          </m:fPr>
          <m:num>
            <m:r>
              <w:rPr>
                <w:rFonts w:ascii="Tahoma" w:cs="Tahoma" w:eastAsia="Tahoma" w:hAnsi="Tahoma"/>
                <w:color w:val="000000"/>
                <w:sz w:val="20"/>
                <w:szCs w:val="20"/>
              </w:rPr>
              <m:t xml:space="preserve">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máx</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i</m:t>
                </m:r>
              </m:sub>
            </m:sSub>
            <m:r>
              <w:rPr>
                <w:rFonts w:ascii="Tahoma" w:cs="Tahoma" w:eastAsia="Tahoma" w:hAnsi="Tahoma"/>
                <w:color w:val="000000"/>
                <w:sz w:val="20"/>
                <w:szCs w:val="20"/>
              </w:rPr>
              <m:t xml:space="preserve"> </m:t>
            </m:r>
          </m:num>
          <m:den>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máx</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min</m:t>
                </m:r>
              </m:sub>
            </m:sSub>
            <m:r>
              <w:rPr>
                <w:rFonts w:ascii="Tahoma" w:cs="Tahoma" w:eastAsia="Tahoma" w:hAnsi="Tahoma"/>
                <w:color w:val="000000"/>
                <w:sz w:val="20"/>
                <w:szCs w:val="20"/>
              </w:rPr>
              <m:t xml:space="preserve"> </m:t>
            </m:r>
          </m:den>
        </m:f>
      </m:oMath>
      <w:r w:rsidDel="00000000" w:rsidR="00000000" w:rsidRPr="00000000">
        <w:rPr>
          <w:rtl w:val="0"/>
        </w:rPr>
      </w:r>
    </w:p>
    <w:p w:rsidR="00000000" w:rsidDel="00000000" w:rsidP="00000000" w:rsidRDefault="00000000" w:rsidRPr="00000000" w14:paraId="000001F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hanging="141"/>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8bq6i0mqnzev" w:id="16"/>
      <w:bookmarkEnd w:id="16"/>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1F3">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566" w:right="-409" w:hanging="356"/>
        <w:jc w:val="both"/>
        <w:rPr>
          <w:rFonts w:ascii="Tahoma" w:cs="Tahoma" w:eastAsia="Tahoma" w:hAnsi="Tahoma"/>
          <w:b w:val="0"/>
          <w:i w:val="0"/>
          <w:smallCaps w:val="0"/>
          <w:strike w:val="0"/>
          <w:color w:val="2f5496"/>
          <w:sz w:val="20"/>
          <w:szCs w:val="20"/>
          <w:u w:val="none"/>
          <w:shd w:fill="auto" w:val="clear"/>
          <w:vertAlign w:val="baseline"/>
        </w:rPr>
      </w:pPr>
      <w:bookmarkStart w:colFirst="0" w:colLast="0" w:name="_heading=h.g6nd00czbvn3" w:id="17"/>
      <w:bookmarkEnd w:id="17"/>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max</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máximo de ejecución indicado a la letra E) del Cuadro-resumen de Características y en el Pliego de Prescripciones Técnicas (PPT), es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TREINTA Y NUEVE (39)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4">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566" w:right="-409" w:hanging="356"/>
        <w:jc w:val="both"/>
        <w:rPr>
          <w:rFonts w:ascii="Tahoma" w:cs="Tahoma" w:eastAsia="Tahoma" w:hAnsi="Tahoma"/>
          <w:b w:val="0"/>
          <w:i w:val="0"/>
          <w:smallCaps w:val="0"/>
          <w:strike w:val="0"/>
          <w:color w:val="2f5496"/>
          <w:sz w:val="20"/>
          <w:szCs w:val="20"/>
          <w:u w:val="none"/>
          <w:shd w:fill="auto" w:val="clear"/>
          <w:vertAlign w:val="baseline"/>
        </w:rPr>
      </w:pPr>
      <w:bookmarkStart w:colFirst="0" w:colLast="0" w:name="_heading=h.3switqwsbaew" w:id="18"/>
      <w:bookmarkEnd w:id="18"/>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total de ejecución del ofertante objeto de valoración (en semanas).</w:t>
      </w:r>
      <w:r w:rsidDel="00000000" w:rsidR="00000000" w:rsidRPr="00000000">
        <w:rPr>
          <w:rtl w:val="0"/>
        </w:rPr>
      </w:r>
    </w:p>
    <w:p w:rsidR="00000000" w:rsidDel="00000000" w:rsidP="00000000" w:rsidRDefault="00000000" w:rsidRPr="00000000" w14:paraId="000001F5">
      <w:pPr>
        <w:numPr>
          <w:ilvl w:val="0"/>
          <w:numId w:val="2"/>
        </w:numPr>
        <w:ind w:left="566" w:right="-409"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Tmin es el plazo total de ejecución mínimo ofertado, de las ofertas que hayan sido admitidas (en</w:t>
      </w:r>
      <w:r w:rsidDel="00000000" w:rsidR="00000000" w:rsidRPr="00000000">
        <w:rPr>
          <w:rFonts w:ascii="Tahoma" w:cs="Tahoma" w:eastAsia="Tahoma" w:hAnsi="Tahoma"/>
          <w:color w:val="000000"/>
          <w:sz w:val="20"/>
          <w:szCs w:val="20"/>
          <w:rtl w:val="0"/>
        </w:rPr>
        <w:t xml:space="preserve"> semanas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qqra85az6qd2" w:id="19"/>
      <w:bookmarkEnd w:id="19"/>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1F7">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720" w:right="-409"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0td2yxi5mab" w:id="20"/>
      <w:bookmarkEnd w:id="20"/>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plazo de ejecución propuesto se entenderá ofertado como semanas. Por lo tanto, a la vista del plazo total de ejecución ofrecido, la reducción de plazo que resulte se considerará que se efectúa por semanas enteras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respecto del plazo máximo de ejecución</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E.1) del Cuadro-Resumen de Características y determinado en el Pliego de Prescripciones Técnicas (PPT). </w:t>
      </w:r>
    </w:p>
    <w:p w:rsidR="00000000" w:rsidDel="00000000" w:rsidP="00000000" w:rsidRDefault="00000000" w:rsidRPr="00000000" w14:paraId="000001F8">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409"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wssv2gj3yvmc" w:id="21"/>
      <w:bookmarkEnd w:id="21"/>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El máximo de semanas que se podrá reducir el plazo máximo indicado es de CINCO (5)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caso de ofertar una reducción superior a CINCO (5) semanas, se entenderá, a efectos de valoración de la oferta, que lo es para el máximo, esto es, los CINCO (5) semanas.</w:t>
      </w:r>
    </w:p>
    <w:p w:rsidR="00000000" w:rsidDel="00000000" w:rsidP="00000000" w:rsidRDefault="00000000" w:rsidRPr="00000000" w14:paraId="000001F9">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76" w:lineRule="auto"/>
        <w:ind w:left="720" w:right="-409"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nrs3yv7cl73l" w:id="22"/>
      <w:bookmarkEnd w:id="22"/>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total de ejecución superior al plazo máximo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E.1) del Cuadro-resumen de Características y determinado en el Pliego de Prescripciones Técnicas (PPT).</w:t>
      </w:r>
    </w:p>
    <w:p w:rsidR="00000000" w:rsidDel="00000000" w:rsidP="00000000" w:rsidRDefault="00000000" w:rsidRPr="00000000" w14:paraId="000001F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ed2ndbfheicb" w:id="23"/>
      <w:bookmarkEnd w:id="23"/>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C.3) </w:t>
      </w:r>
      <w:r w:rsidDel="00000000" w:rsidR="00000000" w:rsidRPr="00000000">
        <w:rPr>
          <w:rFonts w:ascii="Tahoma" w:cs="Tahoma" w:eastAsia="Tahoma" w:hAnsi="Tahoma"/>
          <w:b w:val="1"/>
          <w:i w:val="1"/>
          <w:smallCaps w:val="0"/>
          <w:strike w:val="0"/>
          <w:color w:val="000000"/>
          <w:sz w:val="20"/>
          <w:szCs w:val="20"/>
          <w:u w:val="none"/>
          <w:shd w:fill="auto" w:val="clear"/>
          <w:vertAlign w:val="baseline"/>
          <w:rtl w:val="0"/>
        </w:rPr>
        <w:t xml:space="preserve">(Mejora Opcional)</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Aspectos medioambientales (huella de carbono): hasta 2,5 puntos.</w:t>
      </w:r>
    </w:p>
    <w:p w:rsidR="00000000" w:rsidDel="00000000" w:rsidP="00000000" w:rsidRDefault="00000000" w:rsidRPr="00000000" w14:paraId="000001F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Se otorgará la máxima puntuación al licitador que realice el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cálculo anual de la huella de gases de efecto invernadero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asociados a los productos suministrados a Aigües de Barcelona según los estándares y alcance descritos en la Cláusula 10, C.3) durante la ejecución del contrato.</w:t>
      </w:r>
      <w:r w:rsidDel="00000000" w:rsidR="00000000" w:rsidRPr="00000000">
        <w:rPr>
          <w:rtl w:val="0"/>
        </w:rPr>
      </w:r>
    </w:p>
    <w:p w:rsidR="00000000" w:rsidDel="00000000" w:rsidP="00000000" w:rsidRDefault="00000000" w:rsidRPr="00000000" w14:paraId="000001F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iyd8i3a1t7i" w:id="24"/>
      <w:bookmarkEnd w:id="24"/>
      <w:r w:rsidDel="00000000" w:rsidR="00000000" w:rsidRPr="00000000">
        <w:rPr>
          <w:rtl w:val="0"/>
        </w:rPr>
      </w:r>
    </w:p>
    <w:p w:rsidR="00000000" w:rsidDel="00000000" w:rsidP="00000000" w:rsidRDefault="00000000" w:rsidRPr="00000000" w14:paraId="000001F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25"/>
      <w:bookmarkEnd w:id="25"/>
      <w:r w:rsidDel="00000000" w:rsidR="00000000" w:rsidRPr="00000000">
        <w:br w:type="page"/>
      </w:r>
      <w:r w:rsidDel="00000000" w:rsidR="00000000" w:rsidRPr="00000000">
        <w:rPr>
          <w:rtl w:val="0"/>
        </w:rPr>
      </w:r>
    </w:p>
    <w:p w:rsidR="00000000" w:rsidDel="00000000" w:rsidP="00000000" w:rsidRDefault="00000000" w:rsidRPr="00000000" w14:paraId="000001F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26"/>
      <w:bookmarkEnd w:id="2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13</w:t>
      </w:r>
      <w:r w:rsidDel="00000000" w:rsidR="00000000" w:rsidRPr="00000000">
        <w:rPr>
          <w:rtl w:val="0"/>
        </w:rPr>
      </w:r>
    </w:p>
    <w:p w:rsidR="00000000" w:rsidDel="00000000" w:rsidP="00000000" w:rsidRDefault="00000000" w:rsidRPr="00000000" w14:paraId="000001FF">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MODELOS DE GARANTÍA DEFINITIVA</w:t>
      </w:r>
    </w:p>
    <w:p w:rsidR="00000000" w:rsidDel="00000000" w:rsidP="00000000" w:rsidRDefault="00000000" w:rsidRPr="00000000" w14:paraId="0000020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AVAL BANCARIO DEFINITIVO</w:t>
      </w:r>
    </w:p>
    <w:p w:rsidR="00000000" w:rsidDel="00000000" w:rsidP="00000000" w:rsidRDefault="00000000" w:rsidRPr="00000000" w14:paraId="00000201">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202">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203">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0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0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cláusula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0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0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8">
      <w:pPr>
        <w:spacing w:after="120" w:line="276" w:lineRule="auto"/>
        <w:ind w:right="-409"/>
        <w:jc w:val="both"/>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09">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CERTIFICADO DE SEGURO DE CAUCIÓN</w:t>
      </w:r>
    </w:p>
    <w:p w:rsidR="00000000" w:rsidDel="00000000" w:rsidP="00000000" w:rsidRDefault="00000000" w:rsidRPr="00000000" w14:paraId="0000020A">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LA GARANTÍA DEFINITIVA</w:t>
      </w:r>
    </w:p>
    <w:p w:rsidR="00000000" w:rsidDel="00000000" w:rsidP="00000000" w:rsidRDefault="00000000" w:rsidRPr="00000000" w14:paraId="0000020B">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20C">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20D">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0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0F">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1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1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1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1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16">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17">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18">
      <w:pPr>
        <w:spacing w:after="240" w:line="276" w:lineRule="auto"/>
        <w:ind w:right="-409"/>
        <w:jc w:val="both"/>
        <w:rPr>
          <w:rFonts w:ascii="Tahoma" w:cs="Tahoma" w:eastAsia="Tahoma" w:hAnsi="Tahoma"/>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1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27"/>
      <w:bookmarkEnd w:id="2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14</w:t>
      </w:r>
      <w:r w:rsidDel="00000000" w:rsidR="00000000" w:rsidRPr="00000000">
        <w:rPr>
          <w:rtl w:val="0"/>
        </w:rPr>
      </w:r>
    </w:p>
    <w:p w:rsidR="00000000" w:rsidDel="00000000" w:rsidP="00000000" w:rsidRDefault="00000000" w:rsidRPr="00000000" w14:paraId="0000021A">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CONTRATO TIPO</w:t>
      </w:r>
    </w:p>
    <w:p w:rsidR="00000000" w:rsidDel="00000000" w:rsidP="00000000" w:rsidRDefault="00000000" w:rsidRPr="00000000" w14:paraId="0000021B">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Y MANTENIMIENTO DE DOS CENTRÍFUGAS DE DESHIDRATACIÓN DE FANGOS EN LA EDAR DE GAVÁ-VILADECANS</w:t>
      </w:r>
    </w:p>
    <w:p w:rsidR="00000000" w:rsidDel="00000000" w:rsidP="00000000" w:rsidRDefault="00000000" w:rsidRPr="00000000" w14:paraId="0000021C">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AB/2025/068)</w:t>
      </w:r>
    </w:p>
    <w:p w:rsidR="00000000" w:rsidDel="00000000" w:rsidP="00000000" w:rsidRDefault="00000000" w:rsidRPr="00000000" w14:paraId="0000021D">
      <w:pPr>
        <w:rPr>
          <w:rFonts w:ascii="Tahoma" w:cs="Tahoma" w:eastAsia="Tahoma" w:hAnsi="Tahoma"/>
          <w:b w:val="1"/>
          <w:sz w:val="20"/>
          <w:szCs w:val="20"/>
        </w:rPr>
      </w:pPr>
      <w:r w:rsidDel="00000000" w:rsidR="00000000" w:rsidRPr="00000000">
        <w:rPr>
          <w:rtl w:val="0"/>
        </w:rPr>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Courier New"/>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2">
    <w:pPr>
      <w:tabs>
        <w:tab w:val="center" w:leader="none" w:pos="4252"/>
        <w:tab w:val="right" w:leader="none" w:pos="8504"/>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1E">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Proveedor la constitución de una garantía del 8% del importe de adjudicación, IVA no incluido.</w:t>
      </w:r>
    </w:p>
  </w:footnote>
  <w:footnote w:id="1">
    <w:p w:rsidR="00000000" w:rsidDel="00000000" w:rsidP="00000000" w:rsidRDefault="00000000" w:rsidRPr="00000000" w14:paraId="0000021F">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Proveedor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0">
    <w:pPr>
      <w:tabs>
        <w:tab w:val="center" w:leader="none" w:pos="4252"/>
        <w:tab w:val="right" w:leader="none" w:pos="8504"/>
      </w:tabs>
      <w:spacing w:after="0" w:line="240" w:lineRule="auto"/>
      <w:rPr>
        <w:color w:val="000000"/>
      </w:rPr>
    </w:pPr>
    <w:r w:rsidDel="00000000" w:rsidR="00000000" w:rsidRPr="00000000">
      <w:rPr/>
      <w:drawing>
        <wp:inline distB="0" distT="0" distL="0" distR="0">
          <wp:extent cx="1397000" cy="38925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21">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Calibri" w:cs="Calibri" w:eastAsia="Calibri" w:hAnsi="Calibri"/>
        <w:b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2">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3">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6">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7">
    <w:lvl w:ilvl="0">
      <w:start w:val="1"/>
      <w:numFmt w:val="decimal"/>
      <w:lvlText w:val="%1)"/>
      <w:lvlJc w:val="left"/>
      <w:pPr>
        <w:ind w:left="786" w:hanging="360.0000000000001"/>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8">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9">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tabs>
        <w:tab w:val="left" w:leader="none" w:pos="141"/>
        <w:tab w:val="left" w:leader="none" w:pos="2551"/>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tabs>
        <w:tab w:val="left" w:leader="none" w:pos="141"/>
        <w:tab w:val="left" w:leader="none" w:pos="2551"/>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0" w:before="240"/>
      <w:outlineLvl w:val="0"/>
    </w:pPr>
    <w:rPr>
      <w:color w:val="2f5496"/>
      <w:sz w:val="32"/>
      <w:szCs w:val="32"/>
    </w:rPr>
  </w:style>
  <w:style w:type="paragraph" w:styleId="Ttulo2">
    <w:name w:val="heading 2"/>
    <w:basedOn w:val="Normal"/>
    <w:next w:val="Normal"/>
    <w:uiPriority w:val="9"/>
    <w:semiHidden w:val="1"/>
    <w:unhideWhenUsed w:val="1"/>
    <w:qFormat w:val="1"/>
    <w:pPr>
      <w:keepNext w:val="1"/>
      <w:tabs>
        <w:tab w:val="left" w:pos="141"/>
        <w:tab w:val="left" w:pos="2551"/>
      </w:tabs>
      <w:spacing w:after="0" w:line="240" w:lineRule="auto"/>
      <w:jc w:val="center"/>
      <w:outlineLvl w:val="1"/>
    </w:pPr>
    <w:rPr>
      <w:rFonts w:ascii="Cambria" w:cs="Cambria" w:eastAsia="Cambria" w:hAnsi="Cambria"/>
      <w:b w:val="1"/>
      <w:i w:val="1"/>
      <w:sz w:val="28"/>
      <w:szCs w:val="28"/>
    </w:rPr>
  </w:style>
  <w:style w:type="paragraph" w:styleId="Ttulo3">
    <w:name w:val="heading 3"/>
    <w:basedOn w:val="Normal"/>
    <w:next w:val="Normal"/>
    <w:uiPriority w:val="9"/>
    <w:semiHidden w:val="1"/>
    <w:unhideWhenUsed w:val="1"/>
    <w:qFormat w:val="1"/>
    <w:pPr>
      <w:keepNext w:val="1"/>
      <w:keepLines w:val="1"/>
      <w:spacing w:after="0" w:before="40"/>
      <w:outlineLvl w:val="2"/>
    </w:pPr>
    <w:rPr>
      <w:color w:val="1f3763"/>
      <w:sz w:val="24"/>
      <w:szCs w:val="24"/>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7">
    <w:name w:val="heading 7"/>
    <w:basedOn w:val="Normal"/>
    <w:next w:val="Normal"/>
    <w:pPr>
      <w:spacing w:after="0" w:before="40"/>
      <w:outlineLvl w:val="6"/>
    </w:pPr>
    <w:rPr>
      <w:rFonts w:ascii="Calibri Light" w:hAnsi="Calibri Light"/>
      <w:i w:val="1"/>
      <w:color w:val="1f3763"/>
    </w:rPr>
  </w:style>
  <w:style w:type="paragraph" w:styleId="Ttulo8">
    <w:name w:val="heading 8"/>
    <w:basedOn w:val="Normal"/>
    <w:next w:val="Normal"/>
    <w:pPr>
      <w:spacing w:after="0" w:before="40"/>
      <w:outlineLvl w:val="7"/>
    </w:pPr>
    <w:rPr>
      <w:rFonts w:ascii="Calibri Light" w:hAnsi="Calibri Light"/>
      <w:color w:val="333333"/>
      <w:sz w:val="21"/>
    </w:rPr>
  </w:style>
  <w:style w:type="paragraph" w:styleId="Ttulo9">
    <w:name w:val="heading 9"/>
    <w:basedOn w:val="Normal"/>
    <w:next w:val="Normal"/>
    <w:pPr>
      <w:spacing w:after="0" w:before="40"/>
      <w:outlineLvl w:val="8"/>
    </w:pPr>
    <w:rPr>
      <w:rFonts w:ascii="Calibri Light" w:hAnsi="Calibri Light"/>
      <w:i w:val="1"/>
      <w:color w:val="333333"/>
      <w:sz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rPr>
      <w:rFonts w:ascii="Calibri Light" w:cs="Times New Roman" w:hAnsi="Calibri Light"/>
      <w:color w:val="2f5496"/>
      <w:sz w:val="32"/>
      <w:szCs w:val="32"/>
    </w:rPr>
  </w:style>
  <w:style w:type="character" w:styleId="Ttulo2Car" w:customStyle="1">
    <w:name w:val="Título 2 Car"/>
    <w:basedOn w:val="Fuentedeprrafopredeter"/>
    <w:rPr>
      <w:rFonts w:ascii="Cambria" w:cs="Times New Roman" w:hAnsi="Cambria"/>
      <w:b w:val="1"/>
      <w:bCs w:val="1"/>
      <w:i w:val="1"/>
      <w:iCs w:val="1"/>
      <w:sz w:val="28"/>
      <w:szCs w:val="28"/>
    </w:rPr>
  </w:style>
  <w:style w:type="character" w:styleId="Ttulo3Car" w:customStyle="1">
    <w:name w:val="Título 3 Car"/>
    <w:basedOn w:val="Fuentedeprrafopredeter"/>
    <w:rPr>
      <w:rFonts w:ascii="Calibri Light" w:cs="Times New Roman" w:hAnsi="Calibri Light"/>
      <w:color w:val="1f3763"/>
      <w:sz w:val="24"/>
      <w:szCs w:val="24"/>
    </w:r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style>
  <w:style w:type="paragraph" w:styleId="Prrafodelista">
    <w:name w:val="List Paragraph"/>
    <w:basedOn w:val="Normal"/>
    <w:pPr>
      <w:spacing w:after="240" w:line="240" w:lineRule="auto"/>
      <w:contextualSpacing w:val="1"/>
      <w:jc w:val="both"/>
    </w:pPr>
    <w:rPr>
      <w:rFonts w:ascii="Tahoma" w:cs="Tahoma" w:hAnsi="Tahoma"/>
      <w:b w:val="1"/>
    </w:rPr>
  </w:style>
  <w:style w:type="character" w:styleId="PrrafodelistaCar" w:customStyle="1">
    <w:name w:val="Párrafo de lista Car"/>
    <w:basedOn w:val="Fuentedeprrafopredeter"/>
    <w:rPr>
      <w:rFonts w:ascii="Tahoma" w:cs="Tahoma" w:hAnsi="Tahoma"/>
      <w:b w:val="1"/>
    </w:rPr>
  </w:style>
  <w:style w:type="character" w:styleId="Textodelmarcadordeposicin">
    <w:name w:val="Placeholder Text"/>
    <w:basedOn w:val="Fuentedeprrafopredeter"/>
    <w:rPr>
      <w:color w:val="808080"/>
    </w:rPr>
  </w:style>
  <w:style w:type="character" w:styleId="Refdecomentario">
    <w:name w:val="annotation reference"/>
    <w:basedOn w:val="Fuentedeprrafopredeter"/>
    <w:rPr>
      <w:sz w:val="16"/>
      <w:szCs w:val="16"/>
    </w:rPr>
  </w:style>
  <w:style w:type="paragraph" w:styleId="Textocomentario">
    <w:name w:val="annotation text"/>
    <w:basedOn w:val="Normal"/>
    <w:pPr>
      <w:spacing w:line="240" w:lineRule="auto"/>
    </w:pPr>
    <w:rPr>
      <w:sz w:val="20"/>
      <w:szCs w:val="20"/>
    </w:rPr>
  </w:style>
  <w:style w:type="character" w:styleId="TextocomentarioCar" w:customStyle="1">
    <w:name w:val="Texto comentario Car"/>
    <w:basedOn w:val="Fuentedeprrafopredeter"/>
    <w:rPr>
      <w:sz w:val="20"/>
      <w:szCs w:val="20"/>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basedOn w:val="TextocomentarioCar"/>
    <w:rPr>
      <w:b w:val="1"/>
      <w:bCs w:val="1"/>
      <w:sz w:val="20"/>
      <w:szCs w:val="20"/>
    </w:rPr>
  </w:style>
  <w:style w:type="paragraph" w:styleId="Textodeglobo">
    <w:name w:val="Balloon Text"/>
    <w:basedOn w:val="Normal"/>
    <w:pPr>
      <w:spacing w:after="0" w:line="240" w:lineRule="auto"/>
    </w:pPr>
    <w:rPr>
      <w:rFonts w:ascii="Segoe UI" w:cs="Segoe UI" w:hAnsi="Segoe UI"/>
      <w:sz w:val="18"/>
      <w:szCs w:val="18"/>
    </w:rPr>
  </w:style>
  <w:style w:type="character" w:styleId="TextodegloboCar" w:customStyle="1">
    <w:name w:val="Texto de globo Car"/>
    <w:basedOn w:val="Fuentedeprrafopredeter"/>
    <w:rPr>
      <w:rFonts w:ascii="Segoe UI" w:cs="Segoe UI" w:hAnsi="Segoe UI"/>
      <w:sz w:val="18"/>
      <w:szCs w:val="18"/>
    </w:rPr>
  </w:style>
  <w:style w:type="paragraph" w:styleId="Textoindependiente2">
    <w:name w:val="Body Text 2"/>
    <w:basedOn w:val="Normal"/>
    <w:pPr>
      <w:spacing w:after="0" w:line="240" w:lineRule="auto"/>
    </w:pPr>
    <w:rPr>
      <w:rFonts w:ascii="Times New Roman" w:cs="Times New Roman" w:hAnsi="Times New Roman"/>
      <w:sz w:val="24"/>
      <w:szCs w:val="24"/>
    </w:rPr>
  </w:style>
  <w:style w:type="character" w:styleId="Textoindependiente2Car1" w:customStyle="1">
    <w:name w:val="Texto independiente 2 Car1"/>
    <w:basedOn w:val="Fuentedeprrafopredeter"/>
    <w:rPr>
      <w:rFonts w:ascii="Times New Roman" w:cs="Times New Roman" w:hAnsi="Times New Roman"/>
      <w:sz w:val="24"/>
      <w:szCs w:val="24"/>
    </w:rPr>
  </w:style>
  <w:style w:type="character" w:styleId="Textoindependiente2Car" w:customStyle="1">
    <w:name w:val="Texto independiente 2 Car"/>
    <w:basedOn w:val="Fuentedeprrafopredeter"/>
  </w:style>
  <w:style w:type="paragraph" w:styleId="Revisin">
    <w:name w:val="Revision"/>
    <w:pPr>
      <w:spacing w:after="0" w:line="240" w:lineRule="auto"/>
    </w:pPr>
  </w:style>
  <w:style w:type="character" w:styleId="Hipervnculo">
    <w:name w:val="Hyperlink"/>
    <w:basedOn w:val="Fuentedeprrafopredeter"/>
    <w:rPr>
      <w:color w:val="0563c1"/>
      <w:u w:val="single"/>
    </w:rPr>
  </w:style>
  <w:style w:type="character" w:styleId="Mencinsinresolver1" w:customStyle="1">
    <w:name w:val="Mención sin resolver1"/>
    <w:basedOn w:val="Fuentedeprrafopredeter"/>
    <w:rPr>
      <w:color w:val="605e5c"/>
    </w:rPr>
  </w:style>
  <w:style w:type="paragraph" w:styleId="Textoindependiente">
    <w:name w:val="Body Text"/>
    <w:basedOn w:val="Normal"/>
    <w:pPr>
      <w:spacing w:after="120"/>
    </w:pPr>
  </w:style>
  <w:style w:type="character" w:styleId="TextoindependienteCar" w:customStyle="1">
    <w:name w:val="Texto independiente Car"/>
    <w:basedOn w:val="Fuentedeprrafopredeter"/>
  </w:style>
  <w:style w:type="character" w:styleId="Mencinsinresolver2" w:customStyle="1">
    <w:name w:val="Mención sin resolver2"/>
    <w:basedOn w:val="Fuentedeprrafopredeter"/>
    <w:rPr>
      <w:color w:val="605e5c"/>
    </w:rPr>
  </w:style>
  <w:style w:type="character" w:styleId="Hipervnculovisitado">
    <w:name w:val="FollowedHyperlink"/>
    <w:basedOn w:val="Fuentedeprrafopredeter"/>
    <w:rPr>
      <w:color w:val="954f72"/>
      <w:u w:val="single"/>
    </w:rPr>
  </w:style>
  <w:style w:type="paragraph" w:styleId="Default" w:customStyle="1">
    <w:name w:val="Default"/>
    <w:pPr>
      <w:widowControl w:val="0"/>
      <w:spacing w:after="0" w:line="240" w:lineRule="auto"/>
    </w:pPr>
    <w:rPr>
      <w:rFonts w:ascii="Arial" w:cs="Arial" w:hAnsi="Arial"/>
      <w:color w:val="000000"/>
      <w:sz w:val="24"/>
      <w:szCs w:val="24"/>
    </w:rPr>
  </w:style>
  <w:style w:type="character" w:styleId="Mencinsinresolver3" w:customStyle="1">
    <w:name w:val="Mención sin resolver3"/>
    <w:basedOn w:val="Fuentedeprrafopredeter"/>
    <w:rPr>
      <w:color w:val="605e5c"/>
    </w:rPr>
  </w:style>
  <w:style w:type="character" w:styleId="Mencinsinresolver">
    <w:name w:val="Unresolved Mention"/>
    <w:basedOn w:val="Fuentedeprrafopredeter"/>
    <w:rPr>
      <w:color w:val="605e5c"/>
    </w:rPr>
  </w:style>
  <w:style w:type="paragraph" w:styleId="CM4" w:customStyle="1">
    <w:name w:val="CM4"/>
    <w:basedOn w:val="Default"/>
    <w:next w:val="Default"/>
    <w:rPr>
      <w:color w:val="auto"/>
    </w:rPr>
  </w:style>
  <w:style w:type="paragraph" w:styleId="Direccininterior" w:customStyle="1">
    <w:name w:val="Dirección interior"/>
    <w:basedOn w:val="Normal"/>
    <w:pPr>
      <w:spacing w:after="0" w:line="240" w:lineRule="auto"/>
    </w:pPr>
    <w:rPr>
      <w:rFonts w:ascii="Arial" w:cs="Times New Roman" w:hAnsi="Arial"/>
      <w:sz w:val="24"/>
      <w:szCs w:val="24"/>
    </w:rPr>
  </w:style>
  <w:style w:type="character" w:styleId="nfasis">
    <w:name w:val="Emphasis"/>
    <w:basedOn w:val="Fuentedeprrafopredeter"/>
    <w:rPr>
      <w:i w:val="1"/>
      <w:iCs w:val="1"/>
    </w:rPr>
  </w:style>
  <w:style w:type="paragraph" w:styleId="HTMLconformatoprevio">
    <w:name w:val="HTML Preformatted"/>
    <w:basedOn w:val="Normal"/>
    <w:pPr>
      <w:tabs>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spacing w:after="0" w:line="240" w:lineRule="auto"/>
    </w:pPr>
    <w:rPr>
      <w:rFonts w:ascii="Courier New" w:cs="Courier New" w:hAnsi="Courier New"/>
      <w:sz w:val="20"/>
      <w:szCs w:val="20"/>
    </w:rPr>
  </w:style>
  <w:style w:type="character" w:styleId="HTMLconformatoprevioCar" w:customStyle="1">
    <w:name w:val="HTML con formato previo Car"/>
    <w:basedOn w:val="Fuentedeprrafopredeter"/>
    <w:rPr>
      <w:rFonts w:ascii="Courier New" w:cs="Courier New" w:hAnsi="Courier New"/>
      <w:sz w:val="20"/>
      <w:szCs w:val="20"/>
    </w:rPr>
  </w:style>
  <w:style w:type="character" w:styleId="y2iqfc" w:customStyle="1">
    <w:name w:val="y2iqfc"/>
    <w:basedOn w:val="Fuentedeprrafopredeter"/>
  </w:style>
  <w:style w:type="paragraph" w:styleId="NormalWeb">
    <w:name w:val="Normal (Web)"/>
    <w:basedOn w:val="Normal"/>
    <w:pPr>
      <w:spacing w:after="100" w:afterAutospacing="1" w:before="100" w:beforeAutospacing="1" w:line="240" w:lineRule="auto"/>
    </w:pPr>
    <w:rPr>
      <w:rFonts w:ascii="Times New Roman" w:cs="Times New Roman" w:hAnsi="Times New Roman"/>
      <w:sz w:val="24"/>
      <w:szCs w:val="24"/>
    </w:rPr>
  </w:style>
  <w:style w:type="character" w:styleId="apple-tab-span" w:customStyle="1">
    <w:name w:val="apple-tab-span"/>
    <w:basedOn w:val="Fuentedeprrafopredeter"/>
  </w:style>
  <w:style w:type="paragraph" w:styleId="Piedepgina1" w:customStyle="1">
    <w:name w:val="Pie de página1"/>
    <w:pPr>
      <w:spacing w:after="0" w:line="240" w:lineRule="auto"/>
      <w:jc w:val="both"/>
    </w:pPr>
    <w:rPr>
      <w:rFonts w:ascii="Arial" w:cs="Times New Roman" w:hAnsi="Arial"/>
      <w:color w:val="000000"/>
      <w:sz w:val="20"/>
      <w:szCs w:val="20"/>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cf01" w:customStyle="1">
    <w:name w:val="cf01"/>
    <w:basedOn w:val="Fuentedeprrafopredeter"/>
    <w:rPr>
      <w:rFonts w:ascii="Segoe UI" w:cs="Segoe UI" w:hAnsi="Segoe UI"/>
      <w:sz w:val="18"/>
      <w:szCs w:val="18"/>
    </w:rPr>
  </w:style>
  <w:style w:type="character" w:styleId="Heading7Char" w:customStyle="1">
    <w:name w:val="Heading 7 Char"/>
    <w:basedOn w:val="Fuentedeprrafopredeter"/>
    <w:rPr>
      <w:rFonts w:ascii="Calibri Light" w:hAnsi="Calibri Light"/>
      <w:i w:val="1"/>
      <w:color w:val="1f3763"/>
    </w:rPr>
  </w:style>
  <w:style w:type="character" w:styleId="Heading8Char" w:customStyle="1">
    <w:name w:val="Heading 8 Char"/>
    <w:basedOn w:val="Fuentedeprrafopredeter"/>
    <w:rPr>
      <w:rFonts w:ascii="Calibri Light" w:hAnsi="Calibri Light"/>
      <w:color w:val="333333"/>
      <w:sz w:val="21"/>
    </w:rPr>
  </w:style>
  <w:style w:type="character" w:styleId="Heading9Char" w:customStyle="1">
    <w:name w:val="Heading 9 Char"/>
    <w:basedOn w:val="Fuentedeprrafopredeter"/>
    <w:rPr>
      <w:rFonts w:ascii="Calibri Light" w:hAnsi="Calibri Light"/>
      <w:i w:val="1"/>
      <w:color w:val="333333"/>
      <w:sz w:val="21"/>
    </w:rPr>
  </w:style>
  <w:style w:type="table" w:styleId="a" w:customStyle="1">
    <w:basedOn w:val="TableNormal1"/>
    <w:tblPr>
      <w:tblStyleRowBandSize w:val="1"/>
      <w:tblStyleColBandSize w:val="1"/>
      <w:tblCellMar>
        <w:left w:w="108.0" w:type="dxa"/>
        <w:right w:w="108.0" w:type="dxa"/>
      </w:tblCellMar>
    </w:tblPr>
  </w:style>
  <w:style w:type="table" w:styleId="a0" w:customStyle="1">
    <w:basedOn w:val="TableNormal1"/>
    <w:tblPr>
      <w:tblStyleRowBandSize w:val="1"/>
      <w:tblStyleColBandSize w:val="1"/>
      <w:tblCellMar>
        <w:left w:w="108.0" w:type="dxa"/>
        <w:right w:w="108.0" w:type="dxa"/>
      </w:tblCellMar>
    </w:tblPr>
  </w:style>
  <w:style w:type="table" w:styleId="a1" w:customStyle="1">
    <w:basedOn w:val="TableNormal1"/>
    <w:tblPr>
      <w:tblStyleRowBandSize w:val="1"/>
      <w:tblStyleColBandSize w:val="1"/>
      <w:tblCellMar>
        <w:left w:w="108.0" w:type="dxa"/>
        <w:right w:w="108.0" w:type="dxa"/>
      </w:tblCellMar>
    </w:tblPr>
  </w:style>
  <w:style w:type="table" w:styleId="a2" w:customStyle="1">
    <w:basedOn w:val="TableNormal1"/>
    <w:tblPr>
      <w:tblStyleRowBandSize w:val="1"/>
      <w:tblStyleColBandSize w:val="1"/>
      <w:tblCellMar>
        <w:left w:w="108.0" w:type="dxa"/>
        <w:right w:w="108.0" w:type="dxa"/>
      </w:tblCellMar>
    </w:tblPr>
  </w:style>
  <w:style w:type="table" w:styleId="a3" w:customStyle="1">
    <w:basedOn w:val="TableNormal1"/>
    <w:tblPr>
      <w:tblStyleRowBandSize w:val="1"/>
      <w:tblStyleColBandSize w:val="1"/>
      <w:tblCellMar>
        <w:left w:w="108.0" w:type="dxa"/>
        <w:right w:w="108.0" w:type="dxa"/>
      </w:tblCellMar>
    </w:tblPr>
  </w:style>
  <w:style w:type="table" w:styleId="a4" w:customStyle="1">
    <w:basedOn w:val="TableNormal1"/>
    <w:tblPr>
      <w:tblStyleRowBandSize w:val="1"/>
      <w:tblStyleColBandSize w:val="1"/>
      <w:tblCellMar>
        <w:left w:w="108.0" w:type="dxa"/>
        <w:right w:w="108.0" w:type="dxa"/>
      </w:tblCellMar>
    </w:tblPr>
  </w:style>
  <w:style w:type="table" w:styleId="a5" w:customStyle="1">
    <w:basedOn w:val="TableNormal1"/>
    <w:tblPr>
      <w:tblStyleRowBandSize w:val="1"/>
      <w:tblStyleColBandSize w:val="1"/>
      <w:tblCellMar>
        <w:left w:w="108.0" w:type="dxa"/>
        <w:right w:w="108.0" w:type="dxa"/>
      </w:tblCellMar>
    </w:tblPr>
  </w:style>
  <w:style w:type="table" w:styleId="a6" w:customStyle="1">
    <w:basedOn w:val="TableNormal1"/>
    <w:tblPr>
      <w:tblStyleRowBandSize w:val="1"/>
      <w:tblStyleColBandSize w:val="1"/>
      <w:tblCellMar>
        <w:left w:w="108.0" w:type="dxa"/>
        <w:right w:w="108.0" w:type="dxa"/>
      </w:tblCellMar>
    </w:tblPr>
  </w:style>
  <w:style w:type="table" w:styleId="a7" w:customStyle="1">
    <w:basedOn w:val="TableNormal1"/>
    <w:tblPr>
      <w:tblStyleRowBandSize w:val="1"/>
      <w:tblStyleColBandSize w:val="1"/>
      <w:tblCellMar>
        <w:left w:w="108.0" w:type="dxa"/>
        <w:right w:w="108.0" w:type="dxa"/>
      </w:tblCellMar>
    </w:tblPr>
  </w:style>
  <w:style w:type="table" w:styleId="a8" w:customStyle="1">
    <w:basedOn w:val="TableNormal1"/>
    <w:tblPr>
      <w:tblStyleRowBandSize w:val="1"/>
      <w:tblStyleColBandSize w:val="1"/>
      <w:tblCellMar>
        <w:left w:w="108.0" w:type="dxa"/>
        <w:right w:w="108.0" w:type="dxa"/>
      </w:tblCellMar>
    </w:tblPr>
  </w:style>
  <w:style w:type="table" w:styleId="a9" w:customStyle="1">
    <w:basedOn w:val="TableNormal1"/>
    <w:tblPr>
      <w:tblStyleRowBandSize w:val="1"/>
      <w:tblStyleColBandSize w:val="1"/>
      <w:tblCellMar>
        <w:left w:w="108.0" w:type="dxa"/>
        <w:right w:w="108.0" w:type="dxa"/>
      </w:tblCellMar>
    </w:tblPr>
  </w:style>
  <w:style w:type="table" w:styleId="aa" w:customStyle="1">
    <w:basedOn w:val="TableNormal1"/>
    <w:tblPr>
      <w:tblStyleRowBandSize w:val="1"/>
      <w:tblStyleColBandSize w:val="1"/>
      <w:tblCellMar>
        <w:left w:w="108.0" w:type="dxa"/>
        <w:right w:w="108.0" w:type="dxa"/>
      </w:tblCellMar>
    </w:tblPr>
  </w:style>
  <w:style w:type="table" w:styleId="ab" w:customStyle="1">
    <w:basedOn w:val="TableNormal1"/>
    <w:tblPr>
      <w:tblStyleRowBandSize w:val="1"/>
      <w:tblStyleColBandSize w:val="1"/>
      <w:tblCellMar>
        <w:left w:w="108.0" w:type="dxa"/>
        <w:right w:w="108.0" w:type="dxa"/>
      </w:tblCellMar>
    </w:tblPr>
  </w:style>
  <w:style w:type="table" w:styleId="ac" w:customStyle="1">
    <w:basedOn w:val="TableNormal1"/>
    <w:tblPr>
      <w:tblStyleRowBandSize w:val="1"/>
      <w:tblStyleColBandSize w:val="1"/>
      <w:tblCellMar>
        <w:left w:w="108.0" w:type="dxa"/>
        <w:right w:w="108.0" w:type="dxa"/>
      </w:tblCellMar>
    </w:tblPr>
  </w:style>
  <w:style w:type="table" w:styleId="ad" w:customStyle="1">
    <w:basedOn w:val="TableNormal1"/>
    <w:tblPr>
      <w:tblStyleRowBandSize w:val="1"/>
      <w:tblStyleColBandSize w:val="1"/>
      <w:tblCellMar>
        <w:left w:w="108.0" w:type="dxa"/>
        <w:right w:w="108.0" w:type="dxa"/>
      </w:tblCellMar>
    </w:tblPr>
  </w:style>
  <w:style w:type="table" w:styleId="ae" w:customStyle="1">
    <w:basedOn w:val="TableNormal1"/>
    <w:tblPr>
      <w:tblStyleRowBandSize w:val="1"/>
      <w:tblStyleColBandSize w:val="1"/>
      <w:tblCellMar>
        <w:left w:w="108.0" w:type="dxa"/>
        <w:right w:w="108.0" w:type="dxa"/>
      </w:tblCellMar>
    </w:tblPr>
  </w:style>
  <w:style w:type="table" w:styleId="af" w:customStyle="1">
    <w:basedOn w:val="TableNormal1"/>
    <w:tblPr>
      <w:tblStyleRowBandSize w:val="1"/>
      <w:tblStyleColBandSize w:val="1"/>
      <w:tblCellMar>
        <w:left w:w="108.0" w:type="dxa"/>
        <w:right w:w="108.0" w:type="dxa"/>
      </w:tblCellMar>
    </w:tblPr>
  </w:style>
  <w:style w:type="table" w:styleId="af0" w:customStyle="1">
    <w:basedOn w:val="TableNormal1"/>
    <w:tblPr>
      <w:tblStyleRowBandSize w:val="1"/>
      <w:tblStyleColBandSize w:val="1"/>
      <w:tblCellMar>
        <w:left w:w="108.0" w:type="dxa"/>
        <w:right w:w="108.0" w:type="dxa"/>
      </w:tblCellMar>
    </w:tblPr>
  </w:style>
  <w:style w:type="table" w:styleId="af1" w:customStyle="1">
    <w:basedOn w:val="TableNormal1"/>
    <w:tblPr>
      <w:tblStyleRowBandSize w:val="1"/>
      <w:tblStyleColBandSize w:val="1"/>
      <w:tblCellMar>
        <w:left w:w="108.0" w:type="dxa"/>
        <w:right w:w="108.0" w:type="dxa"/>
      </w:tblCellMar>
    </w:tblPr>
  </w:style>
  <w:style w:type="table" w:styleId="af2" w:customStyle="1">
    <w:basedOn w:val="TableNormal1"/>
    <w:tblPr>
      <w:tblStyleRowBandSize w:val="1"/>
      <w:tblStyleColBandSize w:val="1"/>
      <w:tblCellMar>
        <w:left w:w="108.0" w:type="dxa"/>
        <w:right w:w="108.0" w:type="dxa"/>
      </w:tblCellMar>
    </w:tblPr>
  </w:style>
  <w:style w:type="table" w:styleId="af3" w:customStyle="1">
    <w:basedOn w:val="TableNormal1"/>
    <w:tblPr>
      <w:tblStyleRowBandSize w:val="1"/>
      <w:tblStyleColBandSize w:val="1"/>
      <w:tblCellMar>
        <w:left w:w="108.0" w:type="dxa"/>
        <w:right w:w="108.0" w:type="dxa"/>
      </w:tblCellMar>
    </w:tblPr>
  </w:style>
  <w:style w:type="table" w:styleId="af4" w:customStyle="1">
    <w:basedOn w:val="TableNormal1"/>
    <w:tblPr>
      <w:tblStyleRowBandSize w:val="1"/>
      <w:tblStyleColBandSize w:val="1"/>
      <w:tblCellMar>
        <w:left w:w="108.0" w:type="dxa"/>
        <w:right w:w="108.0" w:type="dxa"/>
      </w:tblCellMar>
    </w:tbl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f5" w:customStyle="1">
    <w:basedOn w:val="TableNormal1"/>
    <w:tblPr>
      <w:tblStyleRowBandSize w:val="1"/>
      <w:tblStyleColBandSize w:val="1"/>
      <w:tblCellMar>
        <w:left w:w="108.0" w:type="dxa"/>
        <w:right w:w="108.0" w:type="dxa"/>
      </w:tblCellMar>
    </w:tblPr>
  </w:style>
  <w:style w:type="table" w:styleId="af6" w:customStyle="1">
    <w:basedOn w:val="TableNormal1"/>
    <w:tblPr>
      <w:tblStyleRowBandSize w:val="1"/>
      <w:tblStyleColBandSize w:val="1"/>
      <w:tblCellMar>
        <w:left w:w="108.0" w:type="dxa"/>
        <w:right w:w="108.0" w:type="dxa"/>
      </w:tblCellMar>
    </w:tblPr>
  </w:style>
  <w:style w:type="table" w:styleId="af7" w:customStyle="1">
    <w:basedOn w:val="TableNormal1"/>
    <w:tblPr>
      <w:tblStyleRowBandSize w:val="1"/>
      <w:tblStyleColBandSize w:val="1"/>
      <w:tblCellMar>
        <w:top w:w="100.0" w:type="dxa"/>
        <w:left w:w="100.0" w:type="dxa"/>
        <w:bottom w:w="100.0" w:type="dxa"/>
        <w:right w:w="100.0" w:type="dxa"/>
      </w:tblCellMar>
    </w:tblPr>
  </w:style>
  <w:style w:type="table" w:styleId="af8" w:customStyle="1">
    <w:basedOn w:val="TableNormal1"/>
    <w:tblPr>
      <w:tblStyleRowBandSize w:val="1"/>
      <w:tblStyleColBandSize w:val="1"/>
      <w:tblCellMar>
        <w:top w:w="100.0" w:type="dxa"/>
        <w:left w:w="100.0" w:type="dxa"/>
        <w:bottom w:w="100.0" w:type="dxa"/>
        <w:right w:w="100.0" w:type="dxa"/>
      </w:tblCellMar>
    </w:tblPr>
  </w:style>
  <w:style w:type="table" w:styleId="af9" w:customStyle="1">
    <w:basedOn w:val="TableNormal1"/>
    <w:tblPr>
      <w:tblStyleRowBandSize w:val="1"/>
      <w:tblStyleColBandSize w:val="1"/>
      <w:tblCellMar>
        <w:left w:w="108.0" w:type="dxa"/>
        <w:right w:w="108.0" w:type="dxa"/>
      </w:tblCellMar>
    </w:tblPr>
  </w:style>
  <w:style w:type="table" w:styleId="afa" w:customStyle="1">
    <w:basedOn w:val="TableNormal1"/>
    <w:tblPr>
      <w:tblStyleRowBandSize w:val="1"/>
      <w:tblStyleColBandSize w:val="1"/>
      <w:tblCellMar>
        <w:left w:w="108.0" w:type="dxa"/>
        <w:right w:w="108.0" w:type="dxa"/>
      </w:tblCellMar>
    </w:tblPr>
  </w:style>
  <w:style w:type="table" w:styleId="afb" w:customStyle="1">
    <w:basedOn w:val="TableNormal1"/>
    <w:tblPr>
      <w:tblStyleRowBandSize w:val="1"/>
      <w:tblStyleColBandSize w:val="1"/>
      <w:tblCellMar>
        <w:left w:w="108.0" w:type="dxa"/>
        <w:right w:w="108.0" w:type="dxa"/>
      </w:tblCellMar>
    </w:tblPr>
  </w:style>
  <w:style w:type="table" w:styleId="afc" w:customStyle="1">
    <w:basedOn w:val="TableNormal1"/>
    <w:tblPr>
      <w:tblStyleRowBandSize w:val="1"/>
      <w:tblStyleColBandSize w:val="1"/>
      <w:tblCellMar>
        <w:top w:w="100.0" w:type="dxa"/>
        <w:left w:w="100.0" w:type="dxa"/>
        <w:bottom w:w="100.0" w:type="dxa"/>
        <w:right w:w="100.0" w:type="dxa"/>
      </w:tblCellMar>
    </w:tblPr>
  </w:style>
  <w:style w:type="table" w:styleId="afd" w:customStyle="1">
    <w:basedOn w:val="TableNormal1"/>
    <w:tblPr>
      <w:tblStyleRowBandSize w:val="1"/>
      <w:tblStyleColBandSize w:val="1"/>
      <w:tblCellMar>
        <w:top w:w="100.0" w:type="dxa"/>
        <w:left w:w="100.0" w:type="dxa"/>
        <w:bottom w:w="100.0" w:type="dxa"/>
        <w:right w:w="100.0" w:type="dxa"/>
      </w:tblCellMar>
    </w:tblPr>
  </w:style>
  <w:style w:type="table" w:styleId="afe" w:customStyle="1">
    <w:basedOn w:val="TableNormal1"/>
    <w:rPr>
      <w:rFonts w:ascii="Georgia" w:cs="Georgia" w:eastAsia="Georgia" w:hAnsi="Georgia"/>
    </w:rPr>
    <w:tblPr>
      <w:tblStyleRowBandSize w:val="1"/>
      <w:tblStyleColBandSize w:val="1"/>
      <w:tblCellMar>
        <w:left w:w="115.0" w:type="dxa"/>
        <w:right w:w="115.0" w:type="dxa"/>
      </w:tblCellMar>
    </w:tblPr>
    <w:tcPr>
      <w:shd w:color="auto" w:fill="dbe5f1" w:val="clear"/>
    </w:tcPr>
  </w:style>
  <w:style w:type="table" w:styleId="aff" w:customStyle="1">
    <w:basedOn w:val="TableNormal1"/>
    <w:tblPr>
      <w:tblStyleRowBandSize w:val="1"/>
      <w:tblStyleColBandSize w:val="1"/>
      <w:tblCellMar>
        <w:left w:w="108.0" w:type="dxa"/>
        <w:right w:w="108.0" w:type="dxa"/>
      </w:tblCellMar>
    </w:tblPr>
  </w:style>
  <w:style w:type="table" w:styleId="aff0" w:customStyle="1">
    <w:basedOn w:val="TableNormal0"/>
    <w:tblPr>
      <w:tblStyleRowBandSize w:val="1"/>
      <w:tblStyleColBandSize w:val="1"/>
      <w:tblCellMar>
        <w:left w:w="108.0" w:type="dxa"/>
        <w:right w:w="108.0" w:type="dxa"/>
      </w:tblCellMar>
    </w:tblPr>
  </w:style>
  <w:style w:type="table" w:styleId="aff1" w:customStyle="1">
    <w:basedOn w:val="TableNormal0"/>
    <w:tblPr>
      <w:tblStyleRowBandSize w:val="1"/>
      <w:tblStyleColBandSize w:val="1"/>
      <w:tblCellMar>
        <w:left w:w="108.0" w:type="dxa"/>
        <w:right w:w="108.0" w:type="dxa"/>
      </w:tblCellMar>
    </w:tblPr>
  </w:style>
  <w:style w:type="table" w:styleId="aff2" w:customStyle="1">
    <w:basedOn w:val="TableNormal0"/>
    <w:tblPr>
      <w:tblStyleRowBandSize w:val="1"/>
      <w:tblStyleColBandSize w:val="1"/>
      <w:tblCellMar>
        <w:top w:w="100.0" w:type="dxa"/>
        <w:left w:w="100.0" w:type="dxa"/>
        <w:bottom w:w="100.0" w:type="dxa"/>
        <w:right w:w="100.0" w:type="dxa"/>
      </w:tblCellMar>
    </w:tblPr>
  </w:style>
  <w:style w:type="table" w:styleId="aff3" w:customStyle="1">
    <w:basedOn w:val="TableNormal0"/>
    <w:tblPr>
      <w:tblStyleRowBandSize w:val="1"/>
      <w:tblStyleColBandSize w:val="1"/>
      <w:tblCellMar>
        <w:top w:w="100.0" w:type="dxa"/>
        <w:left w:w="100.0" w:type="dxa"/>
        <w:bottom w:w="100.0" w:type="dxa"/>
        <w:right w:w="100.0" w:type="dxa"/>
      </w:tblCellMar>
    </w:tblPr>
  </w:style>
  <w:style w:type="table" w:styleId="aff4" w:customStyle="1">
    <w:basedOn w:val="TableNormal0"/>
    <w:tblPr>
      <w:tblStyleRowBandSize w:val="1"/>
      <w:tblStyleColBandSize w:val="1"/>
      <w:tblCellMar>
        <w:left w:w="108.0" w:type="dxa"/>
        <w:right w:w="108.0" w:type="dxa"/>
      </w:tblCellMar>
    </w:tblPr>
  </w:style>
  <w:style w:type="table" w:styleId="aff5" w:customStyle="1">
    <w:basedOn w:val="TableNormal0"/>
    <w:tblPr>
      <w:tblStyleRowBandSize w:val="1"/>
      <w:tblStyleColBandSize w:val="1"/>
      <w:tblCellMar>
        <w:left w:w="108.0" w:type="dxa"/>
        <w:right w:w="108.0" w:type="dxa"/>
      </w:tblCellMar>
    </w:tblPr>
  </w:style>
  <w:style w:type="table" w:styleId="aff6" w:customStyle="1">
    <w:basedOn w:val="TableNormal0"/>
    <w:tblPr>
      <w:tblStyleRowBandSize w:val="1"/>
      <w:tblStyleColBandSize w:val="1"/>
      <w:tblCellMar>
        <w:left w:w="108.0" w:type="dxa"/>
        <w:right w:w="108.0" w:type="dxa"/>
      </w:tblCellMar>
    </w:tblPr>
  </w:style>
  <w:style w:type="table" w:styleId="aff7" w:customStyle="1">
    <w:basedOn w:val="TableNormal0"/>
    <w:tblPr>
      <w:tblStyleRowBandSize w:val="1"/>
      <w:tblStyleColBandSize w:val="1"/>
      <w:tblCellMar>
        <w:top w:w="100.0" w:type="dxa"/>
        <w:left w:w="100.0" w:type="dxa"/>
        <w:bottom w:w="100.0" w:type="dxa"/>
        <w:right w:w="100.0" w:type="dxa"/>
      </w:tblCellMar>
    </w:tblPr>
  </w:style>
  <w:style w:type="table" w:styleId="aff8" w:customStyle="1">
    <w:basedOn w:val="TableNormal0"/>
    <w:tblPr>
      <w:tblStyleRowBandSize w:val="1"/>
      <w:tblStyleColBandSize w:val="1"/>
      <w:tblCellMar>
        <w:top w:w="100.0" w:type="dxa"/>
        <w:left w:w="100.0" w:type="dxa"/>
        <w:bottom w:w="100.0" w:type="dxa"/>
        <w:right w:w="100.0" w:type="dxa"/>
      </w:tblCellMar>
    </w:tblPr>
  </w:style>
  <w:style w:type="table" w:styleId="aff9" w:customStyle="1">
    <w:basedOn w:val="TableNormal0"/>
    <w:rPr>
      <w:rFonts w:ascii="Georgia" w:cs="Georgia" w:eastAsia="Georgia" w:hAnsi="Georgia"/>
    </w:rPr>
    <w:tblPr>
      <w:tblStyleRowBandSize w:val="1"/>
      <w:tblStyleColBandSize w:val="1"/>
      <w:tblCellMar>
        <w:left w:w="115.0" w:type="dxa"/>
        <w:right w:w="115.0" w:type="dxa"/>
      </w:tblCellMar>
    </w:tblPr>
    <w:tcPr>
      <w:shd w:color="auto" w:fill="dbe5f1" w:val="clear"/>
    </w:tcPr>
  </w:style>
  <w:style w:type="table" w:styleId="affa" w:customStyle="1">
    <w:basedOn w:val="TableNormal0"/>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1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1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dDEftxmol1Aj9uD0LHvwaCb8+Q==">CgMxLjAaHgoBMBIZChcICVITChF0YWJsZS53MGxkZ3Z0cGg3bBoeCgExEhkKFwgJUhMKEXRhYmxlLjhsdjdpZW5xY3o0Gh8KATISGgoYCAlSFAoSdGFibGUudjVyNmFmYTJodnpwGh8KATMSGgoYCAlSFAoSdGFibGUuYjAyMHhyYnNyMTZlGh8KATQSGgoYCAlSFAoSdGFibGUuMXd1OHdlb3h5cG9hMgloLjRkMzRvZzgyCWguMjA2aXB6YTIOaC5wNXQyZDN6OTB3NXUyDmgud2dsdTloamZvY3h3Mg5oLnFpamo1MHNzbTZxYzIOaC5pY205M3diZGYyc20yDmguZWJ5bW5pZnV2amozMg5oLnlkeHZpbnIzMTM1MjIOaC5qMXJlZHVicHg5dnkyDmgucmwzeXkwNXFjd2g5Mg5oLmJyN3k0ZjVhMTZvcDIOaC4yM2p1Mm92MTkxc24yDmgueWY0b2Qxdm4yYzBtMg5oLmhvNWJmaTNtaHZmMjIOaC5wanAzcWNsYmFwbGoyDmguanp2cnZ5c2ppamJrMg5oLjhicTZpMG1xbnpldjIOaC5nNm5kMDBjemJ2bjMyDmguM3N3aXRxd3NiYWV3Mg5oLnFxcmE4NWF6NnFkMjIOaC50MHRkMnl4aTVtYWIyDmgud3NzdjJnajN5dm1jMg5oLm5yczN5djdjbDczbDIOaC5lZDJuZGJmaGVpY2IyDmguN2l5ZDhpM2ExdDdpMg5oLm8zeW8yZWNvOGEycjIOaC43a3U3ZDNoNW15Y2UyDmguZnZhczZ4cXVwbXJpOAByITFobFJnRWtNdFZTTTdlN1BtYkJ1bzlVVlRyOTIxeUVt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2025-05-16T11:01:00Z</dcterms:created>
</cp:coreProperties>
</file>